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E813" w14:textId="4E701380" w:rsidR="00C50516" w:rsidRPr="00387110" w:rsidRDefault="00387110" w:rsidP="00387110">
      <w:pPr>
        <w:jc w:val="center"/>
        <w:rPr>
          <w:rFonts w:ascii="Times New Roman" w:hAnsi="Times New Roman" w:cs="Times New Roman"/>
          <w:sz w:val="28"/>
          <w:szCs w:val="28"/>
        </w:rPr>
      </w:pPr>
      <w:r w:rsidRPr="00387110">
        <w:rPr>
          <w:rFonts w:ascii="Times New Roman" w:hAnsi="Times New Roman" w:cs="Times New Roman"/>
          <w:sz w:val="28"/>
          <w:szCs w:val="28"/>
        </w:rPr>
        <w:t>PROJEKTA PAŠVĒRTĒJUMS</w:t>
      </w:r>
    </w:p>
    <w:p w14:paraId="28E7DCD9" w14:textId="77777777" w:rsidR="00387110" w:rsidRPr="00387110" w:rsidRDefault="00387110" w:rsidP="00387110">
      <w:pPr>
        <w:jc w:val="center"/>
        <w:rPr>
          <w:rFonts w:ascii="Times New Roman" w:hAnsi="Times New Roman" w:cs="Times New Roman"/>
          <w:sz w:val="24"/>
          <w:szCs w:val="24"/>
        </w:rPr>
      </w:pPr>
    </w:p>
    <w:tbl>
      <w:tblPr>
        <w:tblW w:w="14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1"/>
        <w:gridCol w:w="4092"/>
        <w:gridCol w:w="1394"/>
        <w:gridCol w:w="1883"/>
        <w:gridCol w:w="6109"/>
      </w:tblGrid>
      <w:tr w:rsidR="00387110" w:rsidRPr="00387110" w14:paraId="3D31A426" w14:textId="1837FCFA" w:rsidTr="00FF77CF">
        <w:trPr>
          <w:trHeight w:val="641"/>
        </w:trPr>
        <w:tc>
          <w:tcPr>
            <w:tcW w:w="14179" w:type="dxa"/>
            <w:gridSpan w:val="6"/>
          </w:tcPr>
          <w:p w14:paraId="36F0C103" w14:textId="1DB630A9" w:rsidR="00387110" w:rsidRPr="00387110" w:rsidRDefault="00387110" w:rsidP="00002A5A">
            <w:pPr>
              <w:spacing w:after="200" w:line="276" w:lineRule="auto"/>
              <w:jc w:val="both"/>
              <w:rPr>
                <w:rFonts w:ascii="Times New Roman" w:hAnsi="Times New Roman" w:cs="Times New Roman"/>
                <w:b/>
                <w:bCs/>
                <w:sz w:val="24"/>
                <w:szCs w:val="24"/>
              </w:rPr>
            </w:pPr>
            <w:r w:rsidRPr="00387110">
              <w:rPr>
                <w:rFonts w:ascii="Times New Roman" w:hAnsi="Times New Roman" w:cs="Times New Roman"/>
                <w:b/>
                <w:bCs/>
                <w:sz w:val="24"/>
                <w:szCs w:val="24"/>
              </w:rPr>
              <w:t>M2 Vietu attīstības iniciatīvas un vietējo iedzīvotāju sabiedrisko aktivitāšu un brīvā laika pavadīšanas iespēju dažādošana</w:t>
            </w:r>
          </w:p>
        </w:tc>
      </w:tr>
      <w:tr w:rsidR="00387110" w:rsidRPr="00387110" w14:paraId="4BEE7CE9" w14:textId="4D2960CA" w:rsidTr="00706AB9">
        <w:trPr>
          <w:trHeight w:val="641"/>
        </w:trPr>
        <w:tc>
          <w:tcPr>
            <w:tcW w:w="14179" w:type="dxa"/>
            <w:gridSpan w:val="6"/>
          </w:tcPr>
          <w:p w14:paraId="4772F0E9" w14:textId="135CB64F" w:rsidR="00387110" w:rsidRPr="00387110" w:rsidRDefault="00387110" w:rsidP="00002A5A">
            <w:pPr>
              <w:spacing w:after="200" w:line="276" w:lineRule="auto"/>
              <w:jc w:val="both"/>
              <w:rPr>
                <w:rFonts w:ascii="Times New Roman" w:hAnsi="Times New Roman" w:cs="Times New Roman"/>
                <w:i/>
                <w:iCs/>
                <w:kern w:val="0"/>
                <w:sz w:val="24"/>
                <w:szCs w:val="24"/>
                <w14:ligatures w14:val="none"/>
              </w:rPr>
            </w:pPr>
            <w:r w:rsidRPr="00387110">
              <w:rPr>
                <w:rFonts w:ascii="Times New Roman" w:hAnsi="Times New Roman" w:cs="Times New Roman"/>
                <w:i/>
                <w:iCs/>
                <w:kern w:val="0"/>
                <w:sz w:val="24"/>
                <w:szCs w:val="24"/>
                <w14:ligatures w14:val="none"/>
              </w:rPr>
              <w:t>2.1. Rīcība. Dzīves vides sakārtošana, brīvā laika pavadīšana un dabas resursu efektīva izmantošana, un kultūrvēsturiskā mantojuma saglabāšana</w:t>
            </w:r>
          </w:p>
        </w:tc>
      </w:tr>
      <w:tr w:rsidR="00387110" w:rsidRPr="00387110" w14:paraId="2FE39A98" w14:textId="1F90F815" w:rsidTr="00387110">
        <w:tc>
          <w:tcPr>
            <w:tcW w:w="701" w:type="dxa"/>
            <w:gridSpan w:val="2"/>
            <w:shd w:val="clear" w:color="auto" w:fill="FBE4D5" w:themeFill="accent2" w:themeFillTint="33"/>
            <w:vAlign w:val="center"/>
          </w:tcPr>
          <w:p w14:paraId="173AD522" w14:textId="77777777" w:rsidR="00387110" w:rsidRPr="00387110" w:rsidRDefault="00387110" w:rsidP="00002A5A">
            <w:pPr>
              <w:suppressAutoHyphens/>
              <w:spacing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Nr.</w:t>
            </w:r>
          </w:p>
        </w:tc>
        <w:tc>
          <w:tcPr>
            <w:tcW w:w="4092" w:type="dxa"/>
            <w:shd w:val="clear" w:color="auto" w:fill="FBE4D5" w:themeFill="accent2" w:themeFillTint="33"/>
            <w:vAlign w:val="center"/>
          </w:tcPr>
          <w:p w14:paraId="470F2EB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Atlases kritērijs</w:t>
            </w:r>
          </w:p>
        </w:tc>
        <w:tc>
          <w:tcPr>
            <w:tcW w:w="1394" w:type="dxa"/>
            <w:shd w:val="clear" w:color="auto" w:fill="FBE4D5" w:themeFill="accent2" w:themeFillTint="33"/>
            <w:vAlign w:val="center"/>
          </w:tcPr>
          <w:p w14:paraId="2C7F6F75"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Vērtējums/ Punkti</w:t>
            </w:r>
          </w:p>
        </w:tc>
        <w:tc>
          <w:tcPr>
            <w:tcW w:w="1883" w:type="dxa"/>
            <w:shd w:val="clear" w:color="auto" w:fill="FBE4D5" w:themeFill="accent2" w:themeFillTint="33"/>
          </w:tcPr>
          <w:p w14:paraId="5E6F4D5C" w14:textId="577A37EF"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Pašnovērtējuma pretendenta piešķirtie punkti</w:t>
            </w:r>
            <w:r w:rsidRPr="00387110">
              <w:rPr>
                <w:rFonts w:ascii="Times New Roman" w:eastAsia="Calibri" w:hAnsi="Times New Roman" w:cs="Times New Roman"/>
                <w:b/>
                <w:kern w:val="0"/>
                <w:sz w:val="24"/>
                <w:szCs w:val="24"/>
                <w:lang w:eastAsia="zh-CN"/>
                <w14:ligatures w14:val="none"/>
              </w:rPr>
              <w:tab/>
            </w:r>
          </w:p>
        </w:tc>
        <w:tc>
          <w:tcPr>
            <w:tcW w:w="6109" w:type="dxa"/>
            <w:shd w:val="clear" w:color="auto" w:fill="FBE4D5" w:themeFill="accent2" w:themeFillTint="33"/>
          </w:tcPr>
          <w:p w14:paraId="178A0484" w14:textId="51AC3BAD"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Pamatojums ( sadaļa, kurā aprakstīts)</w:t>
            </w:r>
          </w:p>
        </w:tc>
      </w:tr>
      <w:tr w:rsidR="00387110" w:rsidRPr="00387110" w14:paraId="48F63C00" w14:textId="24DBE8FD" w:rsidTr="00387110">
        <w:tc>
          <w:tcPr>
            <w:tcW w:w="6187" w:type="dxa"/>
            <w:gridSpan w:val="4"/>
            <w:shd w:val="clear" w:color="auto" w:fill="D9E2F3"/>
            <w:vAlign w:val="center"/>
          </w:tcPr>
          <w:p w14:paraId="49AE90C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hAnsi="Times New Roman" w:cs="Times New Roman"/>
                <w:b/>
                <w:bCs/>
                <w:kern w:val="0"/>
                <w:sz w:val="24"/>
                <w:szCs w:val="24"/>
                <w14:ligatures w14:val="none"/>
              </w:rPr>
              <w:t>Atbilstības vērtēšanas kritēriji</w:t>
            </w:r>
          </w:p>
        </w:tc>
        <w:tc>
          <w:tcPr>
            <w:tcW w:w="1883" w:type="dxa"/>
            <w:shd w:val="clear" w:color="auto" w:fill="D9E2F3"/>
          </w:tcPr>
          <w:p w14:paraId="2BED8B1E"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c>
          <w:tcPr>
            <w:tcW w:w="6109" w:type="dxa"/>
            <w:shd w:val="clear" w:color="auto" w:fill="D9E2F3"/>
          </w:tcPr>
          <w:p w14:paraId="2385EBC2"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r>
      <w:tr w:rsidR="00387110" w:rsidRPr="00387110" w14:paraId="0F2F46B4" w14:textId="63B22DA4" w:rsidTr="00387110">
        <w:trPr>
          <w:trHeight w:val="345"/>
        </w:trPr>
        <w:tc>
          <w:tcPr>
            <w:tcW w:w="670" w:type="dxa"/>
          </w:tcPr>
          <w:p w14:paraId="2968ADEF" w14:textId="77777777" w:rsidR="00387110" w:rsidRPr="00387110" w:rsidRDefault="00387110" w:rsidP="00002A5A">
            <w:pPr>
              <w:pStyle w:val="Sarakstarindkopa"/>
              <w:numPr>
                <w:ilvl w:val="0"/>
                <w:numId w:val="2"/>
              </w:numPr>
              <w:suppressAutoHyphens/>
              <w:spacing w:after="0" w:line="240" w:lineRule="auto"/>
              <w:ind w:right="0"/>
              <w:rPr>
                <w:rFonts w:eastAsia="Calibri" w:cs="Times New Roman"/>
                <w:lang w:eastAsia="zh-CN"/>
              </w:rPr>
            </w:pPr>
          </w:p>
        </w:tc>
        <w:tc>
          <w:tcPr>
            <w:tcW w:w="4123" w:type="dxa"/>
            <w:gridSpan w:val="2"/>
          </w:tcPr>
          <w:p w14:paraId="2FE56CD0"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r w:rsidRPr="00387110">
              <w:rPr>
                <w:rFonts w:ascii="Times New Roman" w:eastAsia="Calibri" w:hAnsi="Times New Roman" w:cs="Times New Roman"/>
                <w:sz w:val="24"/>
                <w:szCs w:val="24"/>
                <w:lang w:eastAsia="zh-CN"/>
              </w:rPr>
              <w:t xml:space="preserve">Atbilst stratēģiskam mērķim, </w:t>
            </w:r>
            <w:r w:rsidRPr="00387110">
              <w:rPr>
                <w:rFonts w:ascii="Times New Roman" w:hAnsi="Times New Roman" w:cs="Times New Roman"/>
                <w:sz w:val="24"/>
                <w:szCs w:val="24"/>
              </w:rPr>
              <w:t>konkrētās rīcības mērķim un projektā plānotās aktivitātes atbilst konkrētajai rīcībai.</w:t>
            </w:r>
          </w:p>
        </w:tc>
        <w:tc>
          <w:tcPr>
            <w:tcW w:w="1394" w:type="dxa"/>
          </w:tcPr>
          <w:p w14:paraId="0F8C29E1"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r w:rsidRPr="00387110">
              <w:rPr>
                <w:rFonts w:ascii="Times New Roman" w:eastAsia="Calibri" w:hAnsi="Times New Roman" w:cs="Times New Roman"/>
                <w:sz w:val="24"/>
                <w:szCs w:val="24"/>
                <w:lang w:eastAsia="zh-CN"/>
              </w:rPr>
              <w:t>Ja/ Nē</w:t>
            </w:r>
          </w:p>
        </w:tc>
        <w:tc>
          <w:tcPr>
            <w:tcW w:w="1883" w:type="dxa"/>
          </w:tcPr>
          <w:p w14:paraId="132EDBC9"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p>
        </w:tc>
        <w:tc>
          <w:tcPr>
            <w:tcW w:w="6109" w:type="dxa"/>
          </w:tcPr>
          <w:p w14:paraId="458DE750"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p>
        </w:tc>
      </w:tr>
      <w:tr w:rsidR="00387110" w:rsidRPr="00387110" w14:paraId="0FD014BE" w14:textId="2B043CB5" w:rsidTr="00387110">
        <w:tc>
          <w:tcPr>
            <w:tcW w:w="61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3DFAED" w14:textId="77777777" w:rsidR="00387110" w:rsidRPr="00387110" w:rsidRDefault="00387110" w:rsidP="00002A5A">
            <w:pPr>
              <w:suppressAutoHyphens/>
              <w:spacing w:after="0" w:line="256" w:lineRule="auto"/>
              <w:jc w:val="center"/>
              <w:rPr>
                <w:rFonts w:ascii="Times New Roman" w:eastAsia="Calibri" w:hAnsi="Times New Roman" w:cs="Times New Roman"/>
                <w:kern w:val="0"/>
                <w:sz w:val="24"/>
                <w:szCs w:val="24"/>
                <w:lang w:eastAsia="zh-CN"/>
                <w14:ligatures w14:val="none"/>
              </w:rPr>
            </w:pPr>
            <w:r w:rsidRPr="00387110">
              <w:rPr>
                <w:rFonts w:ascii="Times New Roman" w:hAnsi="Times New Roman" w:cs="Times New Roman"/>
                <w:b/>
                <w:bCs/>
                <w:kern w:val="0"/>
                <w:sz w:val="24"/>
                <w:szCs w:val="24"/>
                <w:lang w:eastAsia="lv-LV"/>
                <w14:ligatures w14:val="none"/>
              </w:rPr>
              <w:t>KVALITATĪVIE VĒRTĒŠANAS KRITĒRIJI</w:t>
            </w:r>
          </w:p>
        </w:tc>
        <w:tc>
          <w:tcPr>
            <w:tcW w:w="18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4CFB90" w14:textId="77777777" w:rsidR="00387110" w:rsidRPr="00387110" w:rsidRDefault="00387110" w:rsidP="00002A5A">
            <w:pPr>
              <w:suppressAutoHyphens/>
              <w:spacing w:after="0" w:line="256" w:lineRule="auto"/>
              <w:jc w:val="center"/>
              <w:rPr>
                <w:rFonts w:ascii="Times New Roman" w:hAnsi="Times New Roman" w:cs="Times New Roman"/>
                <w:b/>
                <w:bCs/>
                <w:kern w:val="0"/>
                <w:sz w:val="24"/>
                <w:szCs w:val="24"/>
                <w:lang w:eastAsia="lv-LV"/>
                <w14:ligatures w14:val="none"/>
              </w:rPr>
            </w:pPr>
          </w:p>
        </w:tc>
        <w:tc>
          <w:tcPr>
            <w:tcW w:w="610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99AC0A" w14:textId="77777777" w:rsidR="00387110" w:rsidRPr="00387110" w:rsidRDefault="00387110" w:rsidP="00002A5A">
            <w:pPr>
              <w:suppressAutoHyphens/>
              <w:spacing w:after="0" w:line="256" w:lineRule="auto"/>
              <w:jc w:val="center"/>
              <w:rPr>
                <w:rFonts w:ascii="Times New Roman" w:hAnsi="Times New Roman" w:cs="Times New Roman"/>
                <w:b/>
                <w:bCs/>
                <w:kern w:val="0"/>
                <w:sz w:val="24"/>
                <w:szCs w:val="24"/>
                <w:lang w:eastAsia="lv-LV"/>
                <w14:ligatures w14:val="none"/>
              </w:rPr>
            </w:pPr>
          </w:p>
        </w:tc>
      </w:tr>
      <w:tr w:rsidR="00387110" w:rsidRPr="00387110" w14:paraId="5C839EB0" w14:textId="0E69F5FE" w:rsidTr="00387110">
        <w:trPr>
          <w:trHeight w:val="70"/>
        </w:trPr>
        <w:tc>
          <w:tcPr>
            <w:tcW w:w="701" w:type="dxa"/>
            <w:gridSpan w:val="2"/>
            <w:shd w:val="clear" w:color="auto" w:fill="F2F2F2" w:themeFill="background1" w:themeFillShade="F2"/>
          </w:tcPr>
          <w:p w14:paraId="3CB86ACE"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2.</w:t>
            </w:r>
          </w:p>
        </w:tc>
        <w:tc>
          <w:tcPr>
            <w:tcW w:w="4092" w:type="dxa"/>
            <w:shd w:val="clear" w:color="auto" w:fill="F2F2F2" w:themeFill="background1" w:themeFillShade="F2"/>
          </w:tcPr>
          <w:p w14:paraId="09E63A01"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hAnsi="Times New Roman" w:cs="Times New Roman"/>
                <w:kern w:val="0"/>
                <w:sz w:val="24"/>
                <w:szCs w:val="24"/>
                <w14:ligatures w14:val="none"/>
              </w:rPr>
              <w:t>Projekta sagatavotība, pamatojums.</w:t>
            </w:r>
            <w:r w:rsidRPr="00387110">
              <w:rPr>
                <w:rFonts w:ascii="Times New Roman" w:hAnsi="Times New Roman" w:cs="Times New Roman"/>
                <w:b/>
                <w:i/>
                <w:kern w:val="0"/>
                <w:sz w:val="24"/>
                <w:szCs w:val="24"/>
                <w:lang w:eastAsia="lv-LV"/>
                <w14:ligatures w14:val="none"/>
              </w:rPr>
              <w:t xml:space="preserve"> Projekta iesniegumam pievienoti un atbilstoši noformēti nepieciešamie dokumenti</w:t>
            </w:r>
          </w:p>
        </w:tc>
        <w:tc>
          <w:tcPr>
            <w:tcW w:w="1394" w:type="dxa"/>
            <w:shd w:val="clear" w:color="auto" w:fill="F2F2F2" w:themeFill="background1" w:themeFillShade="F2"/>
            <w:vAlign w:val="center"/>
          </w:tcPr>
          <w:p w14:paraId="604BF1A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2</w:t>
            </w:r>
            <w:r w:rsidRPr="00387110">
              <w:rPr>
                <w:rStyle w:val="Vresatsauce"/>
                <w:rFonts w:ascii="Times New Roman" w:eastAsia="Calibri" w:hAnsi="Times New Roman" w:cs="Times New Roman"/>
                <w:b/>
                <w:kern w:val="0"/>
                <w:sz w:val="24"/>
                <w:szCs w:val="24"/>
                <w:lang w:eastAsia="zh-CN"/>
                <w14:ligatures w14:val="none"/>
              </w:rPr>
              <w:footnoteReference w:id="1"/>
            </w:r>
          </w:p>
        </w:tc>
        <w:tc>
          <w:tcPr>
            <w:tcW w:w="1883" w:type="dxa"/>
            <w:shd w:val="clear" w:color="auto" w:fill="F2F2F2" w:themeFill="background1" w:themeFillShade="F2"/>
          </w:tcPr>
          <w:p w14:paraId="6F7297D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120EDC81"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372191D3" w14:textId="5F2E026D" w:rsidTr="00387110">
        <w:trPr>
          <w:trHeight w:val="70"/>
        </w:trPr>
        <w:tc>
          <w:tcPr>
            <w:tcW w:w="701" w:type="dxa"/>
            <w:gridSpan w:val="2"/>
            <w:shd w:val="clear" w:color="auto" w:fill="F2F2F2" w:themeFill="background1" w:themeFillShade="F2"/>
          </w:tcPr>
          <w:p w14:paraId="406BB72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4092" w:type="dxa"/>
            <w:shd w:val="clear" w:color="auto" w:fill="auto"/>
          </w:tcPr>
          <w:p w14:paraId="7F5E3E9D" w14:textId="77777777" w:rsidR="00387110" w:rsidRPr="00387110" w:rsidRDefault="00387110" w:rsidP="00002A5A">
            <w:pPr>
              <w:suppressAutoHyphens/>
              <w:spacing w:before="40" w:after="0" w:line="240" w:lineRule="auto"/>
              <w:rPr>
                <w:rFonts w:ascii="Times New Roman" w:hAnsi="Times New Roman" w:cs="Times New Roman"/>
                <w:kern w:val="0"/>
                <w:sz w:val="24"/>
                <w:szCs w:val="24"/>
                <w14:ligatures w14:val="none"/>
              </w:rPr>
            </w:pPr>
            <w:r w:rsidRPr="00387110">
              <w:rPr>
                <w:rFonts w:ascii="Times New Roman" w:hAnsi="Times New Roman" w:cs="Times New Roman"/>
                <w:kern w:val="0"/>
                <w:sz w:val="24"/>
                <w:szCs w:val="24"/>
                <w14:ligatures w14:val="none"/>
              </w:rPr>
              <w:t>-</w:t>
            </w:r>
            <w:r w:rsidRPr="00387110">
              <w:rPr>
                <w:rFonts w:ascii="Times New Roman" w:eastAsia="Calibri" w:hAnsi="Times New Roman" w:cs="Times New Roman"/>
                <w:kern w:val="0"/>
                <w:sz w:val="24"/>
                <w:szCs w:val="24"/>
                <w14:ligatures w14:val="none"/>
              </w:rPr>
              <w:t xml:space="preserve"> Ir iesniegti visi dokumenti</w:t>
            </w:r>
            <w:r w:rsidRPr="00387110">
              <w:rPr>
                <w:rFonts w:ascii="Times New Roman" w:eastAsia="Calibri" w:hAnsi="Times New Roman" w:cs="Times New Roman"/>
                <w:kern w:val="0"/>
                <w:sz w:val="24"/>
                <w:szCs w:val="24"/>
                <w:vertAlign w:val="superscript"/>
                <w14:ligatures w14:val="none"/>
              </w:rPr>
              <w:footnoteReference w:id="2"/>
            </w:r>
          </w:p>
        </w:tc>
        <w:tc>
          <w:tcPr>
            <w:tcW w:w="1394" w:type="dxa"/>
            <w:shd w:val="clear" w:color="auto" w:fill="auto"/>
            <w:vAlign w:val="center"/>
          </w:tcPr>
          <w:p w14:paraId="5D94F901"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1</w:t>
            </w:r>
          </w:p>
        </w:tc>
        <w:tc>
          <w:tcPr>
            <w:tcW w:w="1883" w:type="dxa"/>
          </w:tcPr>
          <w:p w14:paraId="5BA12B72"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tcPr>
          <w:p w14:paraId="031FE6F8"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1D4E491C" w14:textId="79EC63A0" w:rsidTr="00387110">
        <w:trPr>
          <w:trHeight w:val="70"/>
        </w:trPr>
        <w:tc>
          <w:tcPr>
            <w:tcW w:w="701" w:type="dxa"/>
            <w:gridSpan w:val="2"/>
            <w:shd w:val="clear" w:color="auto" w:fill="F2F2F2" w:themeFill="background1" w:themeFillShade="F2"/>
          </w:tcPr>
          <w:p w14:paraId="1DE42C2A"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4092" w:type="dxa"/>
            <w:shd w:val="clear" w:color="auto" w:fill="auto"/>
          </w:tcPr>
          <w:p w14:paraId="557EF8EF" w14:textId="77777777" w:rsidR="00387110" w:rsidRPr="00387110" w:rsidRDefault="00387110" w:rsidP="00002A5A">
            <w:pPr>
              <w:suppressAutoHyphens/>
              <w:spacing w:before="40" w:after="0" w:line="240" w:lineRule="auto"/>
              <w:rPr>
                <w:rFonts w:ascii="Times New Roman" w:hAnsi="Times New Roman" w:cs="Times New Roman"/>
                <w:kern w:val="0"/>
                <w:sz w:val="24"/>
                <w:szCs w:val="24"/>
                <w14:ligatures w14:val="none"/>
              </w:rPr>
            </w:pPr>
            <w:r w:rsidRPr="00387110">
              <w:rPr>
                <w:rFonts w:ascii="Times New Roman" w:hAnsi="Times New Roman" w:cs="Times New Roman"/>
                <w:kern w:val="0"/>
                <w:sz w:val="24"/>
                <w:szCs w:val="24"/>
                <w14:ligatures w14:val="none"/>
              </w:rPr>
              <w:t>-</w:t>
            </w:r>
            <w:r w:rsidRPr="00387110">
              <w:rPr>
                <w:rFonts w:ascii="Times New Roman" w:eastAsia="Calibri" w:hAnsi="Times New Roman" w:cs="Times New Roman"/>
                <w:kern w:val="0"/>
                <w:sz w:val="24"/>
                <w:szCs w:val="24"/>
                <w:lang w:eastAsia="lv-LV"/>
                <w14:ligatures w14:val="none"/>
              </w:rPr>
              <w:t xml:space="preserve"> Nav iesniegti visi dokumenti</w:t>
            </w:r>
            <w:r w:rsidRPr="00387110">
              <w:rPr>
                <w:rFonts w:ascii="Times New Roman" w:eastAsia="Calibri" w:hAnsi="Times New Roman" w:cs="Times New Roman"/>
                <w:kern w:val="0"/>
                <w:sz w:val="24"/>
                <w:szCs w:val="24"/>
                <w:vertAlign w:val="superscript"/>
                <w14:ligatures w14:val="none"/>
              </w:rPr>
              <w:footnoteReference w:id="3"/>
            </w:r>
          </w:p>
        </w:tc>
        <w:tc>
          <w:tcPr>
            <w:tcW w:w="1394" w:type="dxa"/>
            <w:shd w:val="clear" w:color="auto" w:fill="auto"/>
            <w:vAlign w:val="center"/>
          </w:tcPr>
          <w:p w14:paraId="0320D314"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0</w:t>
            </w:r>
          </w:p>
        </w:tc>
        <w:tc>
          <w:tcPr>
            <w:tcW w:w="1883" w:type="dxa"/>
          </w:tcPr>
          <w:p w14:paraId="6A1EC0C2"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tcPr>
          <w:p w14:paraId="7CB6DF6B"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6FFDCFDD" w14:textId="0EA60B2D" w:rsidTr="00387110">
        <w:trPr>
          <w:trHeight w:val="70"/>
        </w:trPr>
        <w:tc>
          <w:tcPr>
            <w:tcW w:w="701" w:type="dxa"/>
            <w:gridSpan w:val="2"/>
            <w:shd w:val="clear" w:color="auto" w:fill="F2F2F2" w:themeFill="background1" w:themeFillShade="F2"/>
          </w:tcPr>
          <w:p w14:paraId="5F577C6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4092" w:type="dxa"/>
            <w:shd w:val="clear" w:color="auto" w:fill="auto"/>
          </w:tcPr>
          <w:p w14:paraId="3A4C8C54" w14:textId="77777777" w:rsidR="00387110" w:rsidRPr="00387110" w:rsidRDefault="00387110" w:rsidP="00002A5A">
            <w:pPr>
              <w:spacing w:after="200" w:line="240" w:lineRule="auto"/>
              <w:jc w:val="right"/>
              <w:rPr>
                <w:rFonts w:ascii="Times New Roman" w:hAnsi="Times New Roman" w:cs="Times New Roman"/>
                <w:kern w:val="0"/>
                <w:sz w:val="24"/>
                <w:szCs w:val="24"/>
                <w14:ligatures w14:val="none"/>
              </w:rPr>
            </w:pPr>
            <w:r w:rsidRPr="00387110">
              <w:rPr>
                <w:rFonts w:ascii="Times New Roman" w:eastAsia="Calibri" w:hAnsi="Times New Roman" w:cs="Times New Roman"/>
                <w:b/>
                <w:i/>
                <w:kern w:val="0"/>
                <w:sz w:val="24"/>
                <w:szCs w:val="24"/>
                <w:u w:val="single"/>
                <w:lang w:eastAsia="lv-LV"/>
                <w14:ligatures w14:val="none"/>
              </w:rPr>
              <w:t xml:space="preserve">Papildus punkti būvniecības projektiem: </w:t>
            </w:r>
            <w:r w:rsidRPr="00387110">
              <w:rPr>
                <w:rFonts w:ascii="Times New Roman" w:eastAsia="Calibri" w:hAnsi="Times New Roman" w:cs="Times New Roman"/>
                <w:i/>
                <w:kern w:val="0"/>
                <w:sz w:val="24"/>
                <w:szCs w:val="24"/>
                <w:lang w:eastAsia="lv-LV"/>
                <w14:ligatures w14:val="none"/>
              </w:rPr>
              <w:t xml:space="preserve">ja uz projekta iesniegšanas </w:t>
            </w:r>
            <w:r w:rsidRPr="00387110">
              <w:rPr>
                <w:rFonts w:ascii="Times New Roman" w:eastAsia="Calibri" w:hAnsi="Times New Roman" w:cs="Times New Roman"/>
                <w:i/>
                <w:kern w:val="0"/>
                <w:sz w:val="24"/>
                <w:szCs w:val="24"/>
                <w:lang w:eastAsia="lv-LV"/>
                <w14:ligatures w14:val="none"/>
              </w:rPr>
              <w:lastRenderedPageBreak/>
              <w:t xml:space="preserve">brīdi atkarībā no būves grupas un būvdarbu veida: </w:t>
            </w:r>
            <w:r w:rsidRPr="00387110">
              <w:rPr>
                <w:rFonts w:ascii="Times New Roman" w:hAnsi="Times New Roman" w:cs="Times New Roman"/>
                <w:kern w:val="0"/>
                <w:sz w:val="24"/>
                <w:szCs w:val="24"/>
                <w14:ligatures w14:val="none"/>
              </w:rPr>
              <w:t>Būvvalde  ir izdarījusi atzīmi būvatļaujā par tajā ietverto projektēšanas nosacījumu izpildi vai</w:t>
            </w:r>
          </w:p>
          <w:p w14:paraId="25B05799" w14:textId="77777777" w:rsidR="00387110" w:rsidRPr="00387110" w:rsidRDefault="00387110" w:rsidP="00002A5A">
            <w:pPr>
              <w:spacing w:after="200" w:line="240" w:lineRule="auto"/>
              <w:jc w:val="right"/>
              <w:rPr>
                <w:rFonts w:ascii="Times New Roman" w:eastAsia="Calibri" w:hAnsi="Times New Roman" w:cs="Times New Roman"/>
                <w:i/>
                <w:kern w:val="0"/>
                <w:sz w:val="24"/>
                <w:szCs w:val="24"/>
                <w:lang w:eastAsia="lv-LV"/>
                <w14:ligatures w14:val="none"/>
              </w:rPr>
            </w:pPr>
            <w:r w:rsidRPr="00387110">
              <w:rPr>
                <w:rFonts w:ascii="Times New Roman" w:hAnsi="Times New Roman" w:cs="Times New Roman"/>
                <w:kern w:val="0"/>
                <w:sz w:val="24"/>
                <w:szCs w:val="24"/>
                <w14:ligatures w14:val="none"/>
              </w:rPr>
              <w:t>Būvvaldē ir akceptēts(izdarīta atzīme) paskaidrojuma rakstā vai</w:t>
            </w:r>
          </w:p>
          <w:p w14:paraId="791D3D54" w14:textId="77777777" w:rsidR="00387110" w:rsidRPr="00387110" w:rsidRDefault="00387110" w:rsidP="00002A5A">
            <w:pPr>
              <w:spacing w:after="200" w:line="240" w:lineRule="auto"/>
              <w:jc w:val="right"/>
              <w:rPr>
                <w:rFonts w:ascii="Times New Roman" w:hAnsi="Times New Roman" w:cs="Times New Roman"/>
                <w:kern w:val="0"/>
                <w:sz w:val="24"/>
                <w:szCs w:val="24"/>
                <w14:ligatures w14:val="none"/>
              </w:rPr>
            </w:pPr>
            <w:r w:rsidRPr="00387110">
              <w:rPr>
                <w:rFonts w:ascii="Times New Roman" w:hAnsi="Times New Roman" w:cs="Times New Roman"/>
                <w:kern w:val="0"/>
                <w:sz w:val="24"/>
                <w:szCs w:val="24"/>
                <w14:ligatures w14:val="none"/>
              </w:rPr>
              <w:t>Būvniecības informācijas sistēmā ir reģistrēts “Paziņojums par būvniecību”</w:t>
            </w:r>
          </w:p>
        </w:tc>
        <w:tc>
          <w:tcPr>
            <w:tcW w:w="1394" w:type="dxa"/>
            <w:shd w:val="clear" w:color="auto" w:fill="auto"/>
            <w:vAlign w:val="center"/>
          </w:tcPr>
          <w:p w14:paraId="71C6BAE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lastRenderedPageBreak/>
              <w:t>1</w:t>
            </w:r>
          </w:p>
        </w:tc>
        <w:tc>
          <w:tcPr>
            <w:tcW w:w="1883" w:type="dxa"/>
          </w:tcPr>
          <w:p w14:paraId="7990C1F7"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307883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CDC49AC" w14:textId="2300F7FA" w:rsidTr="00387110">
        <w:trPr>
          <w:trHeight w:val="70"/>
        </w:trPr>
        <w:tc>
          <w:tcPr>
            <w:tcW w:w="701" w:type="dxa"/>
            <w:gridSpan w:val="2"/>
            <w:shd w:val="clear" w:color="auto" w:fill="F2F2F2" w:themeFill="background1" w:themeFillShade="F2"/>
          </w:tcPr>
          <w:p w14:paraId="771C534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3.</w:t>
            </w:r>
          </w:p>
        </w:tc>
        <w:tc>
          <w:tcPr>
            <w:tcW w:w="4092" w:type="dxa"/>
            <w:shd w:val="clear" w:color="auto" w:fill="F2F2F2" w:themeFill="background1" w:themeFillShade="F2"/>
          </w:tcPr>
          <w:p w14:paraId="14B3F70E" w14:textId="77777777" w:rsidR="00387110" w:rsidRPr="00387110" w:rsidRDefault="00387110" w:rsidP="00002A5A">
            <w:pPr>
              <w:suppressAutoHyphens/>
              <w:spacing w:before="40" w:after="0" w:line="240" w:lineRule="auto"/>
              <w:rPr>
                <w:rFonts w:ascii="Times New Roman" w:hAnsi="Times New Roman" w:cs="Times New Roman"/>
                <w:kern w:val="0"/>
                <w:sz w:val="24"/>
                <w:szCs w:val="24"/>
                <w14:ligatures w14:val="none"/>
              </w:rPr>
            </w:pPr>
            <w:r w:rsidRPr="00387110">
              <w:rPr>
                <w:rFonts w:ascii="Times New Roman" w:eastAsia="Calibri" w:hAnsi="Times New Roman" w:cs="Times New Roman"/>
                <w:b/>
                <w:kern w:val="0"/>
                <w:sz w:val="24"/>
                <w:szCs w:val="24"/>
                <w:lang w:eastAsia="zh-CN"/>
                <w14:ligatures w14:val="none"/>
              </w:rPr>
              <w:t xml:space="preserve">Plānota aktivitāte ir inovatīva </w:t>
            </w:r>
            <w:r w:rsidRPr="00387110">
              <w:rPr>
                <w:rStyle w:val="Vresatsauce"/>
                <w:rFonts w:ascii="Times New Roman" w:eastAsia="Calibri" w:hAnsi="Times New Roman" w:cs="Times New Roman"/>
                <w:b/>
                <w:kern w:val="0"/>
                <w:sz w:val="24"/>
                <w:szCs w:val="24"/>
                <w:lang w:eastAsia="zh-CN"/>
                <w14:ligatures w14:val="none"/>
              </w:rPr>
              <w:footnoteReference w:id="4"/>
            </w:r>
            <w:r w:rsidRPr="00387110">
              <w:rPr>
                <w:rFonts w:ascii="Times New Roman" w:eastAsia="Calibri" w:hAnsi="Times New Roman" w:cs="Times New Roman"/>
                <w:b/>
                <w:kern w:val="0"/>
                <w:sz w:val="24"/>
                <w:szCs w:val="24"/>
                <w:lang w:eastAsia="zh-CN"/>
                <w14:ligatures w14:val="none"/>
              </w:rPr>
              <w:t>Biedrības  teritorijā</w:t>
            </w:r>
          </w:p>
        </w:tc>
        <w:tc>
          <w:tcPr>
            <w:tcW w:w="1394" w:type="dxa"/>
            <w:shd w:val="clear" w:color="auto" w:fill="F2F2F2" w:themeFill="background1" w:themeFillShade="F2"/>
            <w:vAlign w:val="center"/>
          </w:tcPr>
          <w:p w14:paraId="57199E57"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359C890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7735F76D"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6CDBA8DF" w14:textId="6C6206FB" w:rsidTr="00387110">
        <w:tc>
          <w:tcPr>
            <w:tcW w:w="701" w:type="dxa"/>
            <w:gridSpan w:val="2"/>
          </w:tcPr>
          <w:p w14:paraId="7A030BB2"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1E49F0D" w14:textId="77777777" w:rsidR="00387110" w:rsidRPr="00387110" w:rsidRDefault="00387110" w:rsidP="00002A5A">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visa projekta ideja kopumā ir inovatīva  Biedrības  teritorijā</w:t>
            </w:r>
          </w:p>
        </w:tc>
        <w:tc>
          <w:tcPr>
            <w:tcW w:w="1394" w:type="dxa"/>
            <w:vAlign w:val="center"/>
          </w:tcPr>
          <w:p w14:paraId="1AB6AB7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090F5FD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7B2CB17"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08C4067" w14:textId="7125E73A" w:rsidTr="00387110">
        <w:tc>
          <w:tcPr>
            <w:tcW w:w="701" w:type="dxa"/>
            <w:gridSpan w:val="2"/>
          </w:tcPr>
          <w:p w14:paraId="41EA7443"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A7B14EA" w14:textId="77777777" w:rsidR="00387110" w:rsidRPr="00387110" w:rsidRDefault="00387110" w:rsidP="00002A5A">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visa projekta ideja kopumā ir inovatīva pagasta/pilsētas teritorijā</w:t>
            </w:r>
          </w:p>
        </w:tc>
        <w:tc>
          <w:tcPr>
            <w:tcW w:w="1394" w:type="dxa"/>
            <w:vAlign w:val="center"/>
          </w:tcPr>
          <w:p w14:paraId="3EDE486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709005C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56248CE9"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8B6A2C6" w14:textId="533EB5C3" w:rsidTr="00387110">
        <w:tc>
          <w:tcPr>
            <w:tcW w:w="701" w:type="dxa"/>
            <w:gridSpan w:val="2"/>
          </w:tcPr>
          <w:p w14:paraId="4F8F96F8"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29F8321" w14:textId="77777777" w:rsidR="00387110" w:rsidRPr="00387110" w:rsidRDefault="00387110" w:rsidP="00002A5A">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Nav inovatīva </w:t>
            </w:r>
          </w:p>
        </w:tc>
        <w:tc>
          <w:tcPr>
            <w:tcW w:w="1394" w:type="dxa"/>
            <w:vAlign w:val="center"/>
          </w:tcPr>
          <w:p w14:paraId="4C767D6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39C844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7CFE1F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D6FEB0E" w14:textId="6D1D932E" w:rsidTr="00387110">
        <w:trPr>
          <w:trHeight w:val="70"/>
        </w:trPr>
        <w:tc>
          <w:tcPr>
            <w:tcW w:w="701" w:type="dxa"/>
            <w:gridSpan w:val="2"/>
            <w:shd w:val="clear" w:color="auto" w:fill="F2F2F2" w:themeFill="background1" w:themeFillShade="F2"/>
          </w:tcPr>
          <w:p w14:paraId="118F8084"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4.</w:t>
            </w:r>
          </w:p>
        </w:tc>
        <w:tc>
          <w:tcPr>
            <w:tcW w:w="4092" w:type="dxa"/>
            <w:shd w:val="clear" w:color="auto" w:fill="F2F2F2" w:themeFill="background1" w:themeFillShade="F2"/>
          </w:tcPr>
          <w:p w14:paraId="494201B9"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Ir aprakstīta un raksturota potenciālā mērķa grupa un tās ieguvumi no projekta</w:t>
            </w:r>
          </w:p>
        </w:tc>
        <w:tc>
          <w:tcPr>
            <w:tcW w:w="1394" w:type="dxa"/>
            <w:shd w:val="clear" w:color="auto" w:fill="F2F2F2" w:themeFill="background1" w:themeFillShade="F2"/>
            <w:vAlign w:val="center"/>
          </w:tcPr>
          <w:p w14:paraId="0448F1C6"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4C3DB78E"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22A4379C"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1A8302F7" w14:textId="10F624BB" w:rsidTr="00387110">
        <w:tc>
          <w:tcPr>
            <w:tcW w:w="701" w:type="dxa"/>
            <w:gridSpan w:val="2"/>
          </w:tcPr>
          <w:p w14:paraId="499965C8"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1CE28080"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skaidri definēta mērķa grupa, tās lielums, tiešais labuma guvēju skaits un ieguvumu apraksts. </w:t>
            </w:r>
          </w:p>
        </w:tc>
        <w:tc>
          <w:tcPr>
            <w:tcW w:w="1394" w:type="dxa"/>
            <w:vAlign w:val="center"/>
          </w:tcPr>
          <w:p w14:paraId="386875F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7D912C69"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4DEBD13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52860978" w14:textId="6AC6A038" w:rsidTr="00387110">
        <w:tc>
          <w:tcPr>
            <w:tcW w:w="701" w:type="dxa"/>
            <w:gridSpan w:val="2"/>
          </w:tcPr>
          <w:p w14:paraId="2F157CF9"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6681B9F"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mērķa grupas apraksts vispārīgs, nav identificēti tiešā labuma guvēji</w:t>
            </w:r>
          </w:p>
        </w:tc>
        <w:tc>
          <w:tcPr>
            <w:tcW w:w="1394" w:type="dxa"/>
            <w:vAlign w:val="center"/>
          </w:tcPr>
          <w:p w14:paraId="42F88152"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29EEC6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0FD71B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4C1BE8D" w14:textId="760140FD" w:rsidTr="00387110">
        <w:tc>
          <w:tcPr>
            <w:tcW w:w="701" w:type="dxa"/>
            <w:gridSpan w:val="2"/>
            <w:shd w:val="clear" w:color="auto" w:fill="D9D9D9" w:themeFill="background1" w:themeFillShade="D9"/>
          </w:tcPr>
          <w:p w14:paraId="7B2622E5" w14:textId="77777777" w:rsidR="00387110" w:rsidRPr="00387110" w:rsidRDefault="00387110" w:rsidP="00002A5A">
            <w:pPr>
              <w:suppressAutoHyphens/>
              <w:spacing w:after="0" w:line="240" w:lineRule="auto"/>
              <w:rPr>
                <w:rFonts w:ascii="Times New Roman" w:eastAsia="Calibri" w:hAnsi="Times New Roman" w:cs="Times New Roman"/>
                <w:b/>
                <w:bCs/>
                <w:kern w:val="0"/>
                <w:sz w:val="24"/>
                <w:szCs w:val="24"/>
                <w:lang w:eastAsia="zh-CN"/>
                <w14:ligatures w14:val="none"/>
              </w:rPr>
            </w:pPr>
            <w:r w:rsidRPr="00387110">
              <w:rPr>
                <w:rFonts w:ascii="Times New Roman" w:eastAsia="Calibri" w:hAnsi="Times New Roman" w:cs="Times New Roman"/>
                <w:b/>
                <w:bCs/>
                <w:kern w:val="0"/>
                <w:sz w:val="24"/>
                <w:szCs w:val="24"/>
                <w:lang w:eastAsia="zh-CN"/>
                <w14:ligatures w14:val="none"/>
              </w:rPr>
              <w:t>5.</w:t>
            </w:r>
          </w:p>
        </w:tc>
        <w:tc>
          <w:tcPr>
            <w:tcW w:w="4092" w:type="dxa"/>
            <w:shd w:val="clear" w:color="auto" w:fill="D9D9D9" w:themeFill="background1" w:themeFillShade="D9"/>
          </w:tcPr>
          <w:p w14:paraId="0115B763" w14:textId="77777777" w:rsidR="00387110" w:rsidRPr="00387110" w:rsidRDefault="00387110" w:rsidP="00002A5A">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Aprakstīta problēma un kādas pārmaiņas dos projekta rezultāts</w:t>
            </w:r>
            <w:r w:rsidRPr="00387110">
              <w:rPr>
                <w:rFonts w:ascii="Times New Roman" w:eastAsia="Calibri" w:hAnsi="Times New Roman" w:cs="Times New Roman"/>
                <w:b/>
                <w:kern w:val="0"/>
                <w:sz w:val="24"/>
                <w:szCs w:val="24"/>
                <w:vertAlign w:val="superscript"/>
                <w:lang w:eastAsia="zh-CN"/>
                <w14:ligatures w14:val="none"/>
              </w:rPr>
              <w:footnoteReference w:id="5"/>
            </w:r>
            <w:r w:rsidRPr="00387110">
              <w:rPr>
                <w:rFonts w:ascii="Times New Roman" w:eastAsia="Calibri" w:hAnsi="Times New Roman" w:cs="Times New Roman"/>
                <w:b/>
                <w:kern w:val="0"/>
                <w:sz w:val="24"/>
                <w:szCs w:val="24"/>
                <w:lang w:eastAsia="zh-CN"/>
                <w14:ligatures w14:val="none"/>
              </w:rPr>
              <w:t xml:space="preserve">  </w:t>
            </w:r>
            <w:r w:rsidRPr="00387110">
              <w:rPr>
                <w:rFonts w:ascii="Times New Roman" w:eastAsia="Calibri" w:hAnsi="Times New Roman" w:cs="Times New Roman"/>
                <w:bCs/>
                <w:i/>
                <w:iCs/>
                <w:kern w:val="0"/>
                <w:sz w:val="24"/>
                <w:szCs w:val="24"/>
                <w:lang w:eastAsia="zh-CN"/>
                <w14:ligatures w14:val="none"/>
              </w:rPr>
              <w:t>Jābūt sinerģijai ar SVVA stratēģijas SVID analīzi</w:t>
            </w:r>
            <w:r w:rsidRPr="00387110">
              <w:rPr>
                <w:rFonts w:ascii="Times New Roman" w:eastAsia="Calibri" w:hAnsi="Times New Roman" w:cs="Times New Roman"/>
                <w:b/>
                <w:kern w:val="0"/>
                <w:sz w:val="24"/>
                <w:szCs w:val="24"/>
                <w:lang w:eastAsia="zh-CN"/>
                <w14:ligatures w14:val="none"/>
              </w:rPr>
              <w:t xml:space="preserve"> </w:t>
            </w:r>
          </w:p>
        </w:tc>
        <w:tc>
          <w:tcPr>
            <w:tcW w:w="1394" w:type="dxa"/>
            <w:shd w:val="clear" w:color="auto" w:fill="D9D9D9" w:themeFill="background1" w:themeFillShade="D9"/>
            <w:vAlign w:val="center"/>
          </w:tcPr>
          <w:p w14:paraId="3928FEB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D9D9D9" w:themeFill="background1" w:themeFillShade="D9"/>
          </w:tcPr>
          <w:p w14:paraId="0A0C660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shd w:val="clear" w:color="auto" w:fill="D9D9D9" w:themeFill="background1" w:themeFillShade="D9"/>
          </w:tcPr>
          <w:p w14:paraId="2927283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432F3AE" w14:textId="5E3F8F97" w:rsidTr="00387110">
        <w:tc>
          <w:tcPr>
            <w:tcW w:w="701" w:type="dxa"/>
            <w:gridSpan w:val="2"/>
          </w:tcPr>
          <w:p w14:paraId="47B8125F"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7BA596C2" w14:textId="77777777" w:rsidR="00387110" w:rsidRPr="00387110" w:rsidRDefault="00387110" w:rsidP="00002A5A">
            <w:pPr>
              <w:suppressAutoHyphens/>
              <w:spacing w:after="0" w:line="240" w:lineRule="auto"/>
              <w:contextualSpacing/>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pieteikumā skaidri aprakstītas problēmas, ko projekts paredz risināt un rezultātu, kādu vēlas sasniegt, saskaņā ar SVVA stratēģiju.</w:t>
            </w:r>
          </w:p>
        </w:tc>
        <w:tc>
          <w:tcPr>
            <w:tcW w:w="1394" w:type="dxa"/>
            <w:vAlign w:val="center"/>
          </w:tcPr>
          <w:p w14:paraId="1A957EE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450B8C8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47746F1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37793FC9" w14:textId="58D7B4E1" w:rsidTr="00387110">
        <w:tc>
          <w:tcPr>
            <w:tcW w:w="701" w:type="dxa"/>
            <w:gridSpan w:val="2"/>
          </w:tcPr>
          <w:p w14:paraId="61BB5325"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A7192DF" w14:textId="77777777" w:rsidR="00387110" w:rsidRPr="00387110" w:rsidRDefault="00387110" w:rsidP="00002A5A">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-pieteikumā nepilnīgi aprakstītas problēmas, ko projekts paredz risināt un nepilnīgs apraksts projekta rezultātam.</w:t>
            </w:r>
          </w:p>
        </w:tc>
        <w:tc>
          <w:tcPr>
            <w:tcW w:w="1394" w:type="dxa"/>
            <w:vAlign w:val="center"/>
          </w:tcPr>
          <w:p w14:paraId="221C6C7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2CBB302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642F38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636E48DE" w14:textId="318663EE" w:rsidTr="00387110">
        <w:tc>
          <w:tcPr>
            <w:tcW w:w="701" w:type="dxa"/>
            <w:gridSpan w:val="2"/>
          </w:tcPr>
          <w:p w14:paraId="4190CADA"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AC2D5F3" w14:textId="77777777" w:rsidR="00387110" w:rsidRPr="00387110" w:rsidRDefault="00387110" w:rsidP="00002A5A">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-nav aprakstīta esošās problēmas, neskaidrs projekta rezultāts. </w:t>
            </w:r>
          </w:p>
        </w:tc>
        <w:tc>
          <w:tcPr>
            <w:tcW w:w="1394" w:type="dxa"/>
            <w:vAlign w:val="center"/>
          </w:tcPr>
          <w:p w14:paraId="4F96B36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76BB7E31"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BB4770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9C4C4E9" w14:textId="25473205" w:rsidTr="00387110">
        <w:trPr>
          <w:trHeight w:val="558"/>
        </w:trPr>
        <w:tc>
          <w:tcPr>
            <w:tcW w:w="701" w:type="dxa"/>
            <w:gridSpan w:val="2"/>
            <w:shd w:val="clear" w:color="auto" w:fill="F2F2F2" w:themeFill="background1" w:themeFillShade="F2"/>
          </w:tcPr>
          <w:p w14:paraId="18EE588C"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6.</w:t>
            </w:r>
          </w:p>
        </w:tc>
        <w:tc>
          <w:tcPr>
            <w:tcW w:w="4092" w:type="dxa"/>
            <w:shd w:val="clear" w:color="auto" w:fill="F2F2F2" w:themeFill="background1" w:themeFillShade="F2"/>
          </w:tcPr>
          <w:p w14:paraId="0AC7BBEB"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 xml:space="preserve">Plānotās aktivitātes ir skaidri definētas un atspoguļota projekta īstenošanas gaita </w:t>
            </w:r>
          </w:p>
        </w:tc>
        <w:tc>
          <w:tcPr>
            <w:tcW w:w="1394" w:type="dxa"/>
            <w:shd w:val="clear" w:color="auto" w:fill="F2F2F2" w:themeFill="background1" w:themeFillShade="F2"/>
            <w:vAlign w:val="center"/>
          </w:tcPr>
          <w:p w14:paraId="2B80DDAB" w14:textId="77777777" w:rsidR="00387110" w:rsidRPr="00387110" w:rsidRDefault="00387110" w:rsidP="00002A5A">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1A672499" w14:textId="77777777" w:rsidR="00387110" w:rsidRPr="00387110" w:rsidRDefault="00387110" w:rsidP="00002A5A">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3756A190" w14:textId="77777777" w:rsidR="00387110" w:rsidRPr="00387110" w:rsidRDefault="00387110" w:rsidP="00002A5A">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5A7E5320" w14:textId="1180F08D" w:rsidTr="00387110">
        <w:tc>
          <w:tcPr>
            <w:tcW w:w="701" w:type="dxa"/>
            <w:gridSpan w:val="2"/>
          </w:tcPr>
          <w:p w14:paraId="5CC2E5AD"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3BF1FF2E"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pieteikumā skaidri aprakstīta esošā situācija un pamatotas aktivitātes, kā sasniegt mērķi. </w:t>
            </w:r>
          </w:p>
        </w:tc>
        <w:tc>
          <w:tcPr>
            <w:tcW w:w="1394" w:type="dxa"/>
            <w:vAlign w:val="center"/>
          </w:tcPr>
          <w:p w14:paraId="4DD75FA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7EEE612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A98FF8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223E47E2" w14:textId="7A8FC19F" w:rsidTr="00387110">
        <w:tc>
          <w:tcPr>
            <w:tcW w:w="701" w:type="dxa"/>
            <w:gridSpan w:val="2"/>
          </w:tcPr>
          <w:p w14:paraId="3B47E651"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05B7649"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pieteikumā nepilnīgi aprakstīta esošā situācija un/vai aktivitātes, kā sasniegt mērķi. </w:t>
            </w:r>
          </w:p>
        </w:tc>
        <w:tc>
          <w:tcPr>
            <w:tcW w:w="1394" w:type="dxa"/>
            <w:vAlign w:val="center"/>
          </w:tcPr>
          <w:p w14:paraId="5FD5A59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64CD9E8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7803D9F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518CB6A3" w14:textId="46CD8D1B" w:rsidTr="00387110">
        <w:tc>
          <w:tcPr>
            <w:tcW w:w="701" w:type="dxa"/>
            <w:gridSpan w:val="2"/>
          </w:tcPr>
          <w:p w14:paraId="4A585B27"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3AADCDE5"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nav aprakstīta esošā situācija un/vai aktivitātes, kā sasniegt plānoto mērķi. </w:t>
            </w:r>
          </w:p>
        </w:tc>
        <w:tc>
          <w:tcPr>
            <w:tcW w:w="1394" w:type="dxa"/>
            <w:vAlign w:val="center"/>
          </w:tcPr>
          <w:p w14:paraId="38C0A52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3D2F3AF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56AB1D7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23979C02" w14:textId="7D959A0B" w:rsidTr="00387110">
        <w:trPr>
          <w:trHeight w:val="70"/>
        </w:trPr>
        <w:tc>
          <w:tcPr>
            <w:tcW w:w="701" w:type="dxa"/>
            <w:gridSpan w:val="2"/>
            <w:shd w:val="clear" w:color="auto" w:fill="F2F2F2" w:themeFill="background1" w:themeFillShade="F2"/>
          </w:tcPr>
          <w:p w14:paraId="1E477384"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7.</w:t>
            </w:r>
          </w:p>
        </w:tc>
        <w:tc>
          <w:tcPr>
            <w:tcW w:w="4092" w:type="dxa"/>
            <w:shd w:val="clear" w:color="auto" w:fill="F2F2F2" w:themeFill="background1" w:themeFillShade="F2"/>
          </w:tcPr>
          <w:p w14:paraId="362762CC"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 xml:space="preserve">Tiek popularizēts un saglabāts materiālais vai nemateriālais kultūrvēsturiskais mantojums. </w:t>
            </w:r>
          </w:p>
        </w:tc>
        <w:tc>
          <w:tcPr>
            <w:tcW w:w="1394" w:type="dxa"/>
            <w:shd w:val="clear" w:color="auto" w:fill="F2F2F2" w:themeFill="background1" w:themeFillShade="F2"/>
            <w:vAlign w:val="center"/>
          </w:tcPr>
          <w:p w14:paraId="20060FC4" w14:textId="77777777" w:rsidR="00387110" w:rsidRPr="00387110" w:rsidRDefault="00387110" w:rsidP="00002A5A">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c>
          <w:tcPr>
            <w:tcW w:w="1883" w:type="dxa"/>
            <w:shd w:val="clear" w:color="auto" w:fill="F2F2F2" w:themeFill="background1" w:themeFillShade="F2"/>
          </w:tcPr>
          <w:p w14:paraId="08D64338" w14:textId="77777777" w:rsidR="00387110" w:rsidRPr="00387110" w:rsidRDefault="00387110" w:rsidP="00002A5A">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c>
          <w:tcPr>
            <w:tcW w:w="6109" w:type="dxa"/>
            <w:shd w:val="clear" w:color="auto" w:fill="F2F2F2" w:themeFill="background1" w:themeFillShade="F2"/>
          </w:tcPr>
          <w:p w14:paraId="6F438CF5" w14:textId="77777777" w:rsidR="00387110" w:rsidRPr="00387110" w:rsidRDefault="00387110" w:rsidP="00002A5A">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r>
      <w:tr w:rsidR="00387110" w:rsidRPr="00387110" w14:paraId="39CC27B7" w14:textId="0D8381AD" w:rsidTr="00387110">
        <w:trPr>
          <w:trHeight w:val="70"/>
        </w:trPr>
        <w:tc>
          <w:tcPr>
            <w:tcW w:w="701" w:type="dxa"/>
            <w:gridSpan w:val="2"/>
            <w:vAlign w:val="center"/>
          </w:tcPr>
          <w:p w14:paraId="0A48CF59"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highlight w:val="lightGray"/>
                <w:lang w:eastAsia="zh-CN"/>
                <w14:ligatures w14:val="none"/>
              </w:rPr>
            </w:pPr>
          </w:p>
        </w:tc>
        <w:tc>
          <w:tcPr>
            <w:tcW w:w="4092" w:type="dxa"/>
            <w:shd w:val="clear" w:color="auto" w:fill="auto"/>
            <w:vAlign w:val="center"/>
          </w:tcPr>
          <w:p w14:paraId="26473BE9"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viss projekts vērsts uz kultūrvēsturiskā mantojuma saglabāšanu un popularizēšanu, detalizēti un pavisam skaidri pamatots apraksts</w:t>
            </w:r>
          </w:p>
        </w:tc>
        <w:tc>
          <w:tcPr>
            <w:tcW w:w="1394" w:type="dxa"/>
            <w:vAlign w:val="center"/>
          </w:tcPr>
          <w:p w14:paraId="15D2246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2DF476D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912884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10C2269C" w14:textId="270257F2" w:rsidTr="00387110">
        <w:trPr>
          <w:trHeight w:val="70"/>
        </w:trPr>
        <w:tc>
          <w:tcPr>
            <w:tcW w:w="701" w:type="dxa"/>
            <w:gridSpan w:val="2"/>
            <w:vAlign w:val="center"/>
          </w:tcPr>
          <w:p w14:paraId="681C6135"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vAlign w:val="center"/>
          </w:tcPr>
          <w:p w14:paraId="23CA2445"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projekts nav vērsts un kultūrvēsturiskā mantojuma saglabāšanu vai popularizēšanu</w:t>
            </w:r>
          </w:p>
        </w:tc>
        <w:tc>
          <w:tcPr>
            <w:tcW w:w="1394" w:type="dxa"/>
            <w:vAlign w:val="center"/>
          </w:tcPr>
          <w:p w14:paraId="1CDE21C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highlight w:val="lightGray"/>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66701D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FF49E1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6C13A3AA" w14:textId="066143D4" w:rsidTr="00387110">
        <w:trPr>
          <w:trHeight w:val="70"/>
        </w:trPr>
        <w:tc>
          <w:tcPr>
            <w:tcW w:w="701" w:type="dxa"/>
            <w:gridSpan w:val="2"/>
            <w:shd w:val="clear" w:color="auto" w:fill="F2F2F2" w:themeFill="background1" w:themeFillShade="F2"/>
          </w:tcPr>
          <w:p w14:paraId="034FF050"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8.</w:t>
            </w:r>
          </w:p>
        </w:tc>
        <w:tc>
          <w:tcPr>
            <w:tcW w:w="4092" w:type="dxa"/>
            <w:shd w:val="clear" w:color="auto" w:fill="F2F2F2" w:themeFill="background1" w:themeFillShade="F2"/>
          </w:tcPr>
          <w:p w14:paraId="2CC2E509"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Projekta rezultātā uzlabojas iespēja sociālās atstumtības riska grupām</w:t>
            </w:r>
            <w:r w:rsidRPr="00387110">
              <w:rPr>
                <w:rStyle w:val="Vresatsauce"/>
                <w:rFonts w:ascii="Times New Roman" w:eastAsia="Calibri" w:hAnsi="Times New Roman" w:cs="Times New Roman"/>
                <w:b/>
                <w:kern w:val="0"/>
                <w:sz w:val="24"/>
                <w:szCs w:val="24"/>
                <w:lang w:eastAsia="zh-CN"/>
                <w14:ligatures w14:val="none"/>
              </w:rPr>
              <w:footnoteReference w:id="6"/>
            </w:r>
            <w:r w:rsidRPr="00387110">
              <w:rPr>
                <w:rFonts w:ascii="Times New Roman" w:eastAsia="Calibri" w:hAnsi="Times New Roman" w:cs="Times New Roman"/>
                <w:b/>
                <w:kern w:val="0"/>
                <w:sz w:val="24"/>
                <w:szCs w:val="24"/>
                <w:lang w:eastAsia="zh-CN"/>
                <w14:ligatures w14:val="none"/>
              </w:rPr>
              <w:t xml:space="preserve"> iekļauties sabiedrībā  </w:t>
            </w:r>
            <w:r w:rsidRPr="00387110">
              <w:rPr>
                <w:rFonts w:ascii="Times New Roman" w:eastAsia="Times New Roman" w:hAnsi="Times New Roman" w:cs="Times New Roman"/>
                <w:i/>
                <w:iCs/>
                <w:kern w:val="0"/>
                <w:sz w:val="24"/>
                <w:szCs w:val="24"/>
                <w:lang w:eastAsia="zh-CN"/>
                <w14:ligatures w14:val="none"/>
              </w:rPr>
              <w:t>Projekta pieteikumā paredzēti pasākumi sociālās atstumtības riska grupām</w:t>
            </w:r>
            <w:r w:rsidRPr="00387110">
              <w:rPr>
                <w:rFonts w:ascii="Times New Roman" w:eastAsia="Times New Roman" w:hAnsi="Times New Roman" w:cs="Times New Roman"/>
                <w:i/>
                <w:iCs/>
                <w:kern w:val="0"/>
                <w:sz w:val="24"/>
                <w:szCs w:val="24"/>
                <w:vertAlign w:val="superscript"/>
                <w:lang w:eastAsia="zh-CN"/>
                <w14:ligatures w14:val="none"/>
              </w:rPr>
              <w:footnoteReference w:id="7"/>
            </w:r>
            <w:r w:rsidRPr="00387110">
              <w:rPr>
                <w:rFonts w:ascii="Times New Roman" w:eastAsia="Times New Roman" w:hAnsi="Times New Roman" w:cs="Times New Roman"/>
                <w:i/>
                <w:iCs/>
                <w:kern w:val="0"/>
                <w:sz w:val="24"/>
                <w:szCs w:val="24"/>
                <w:lang w:eastAsia="zh-CN"/>
                <w14:ligatures w14:val="none"/>
              </w:rPr>
              <w:t>.</w:t>
            </w:r>
          </w:p>
        </w:tc>
        <w:tc>
          <w:tcPr>
            <w:tcW w:w="1394" w:type="dxa"/>
            <w:shd w:val="clear" w:color="auto" w:fill="F2F2F2" w:themeFill="background1" w:themeFillShade="F2"/>
            <w:vAlign w:val="center"/>
          </w:tcPr>
          <w:p w14:paraId="4BD9580C"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23C582FB"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5C73D855"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3B02CF2A" w14:textId="633F172F" w:rsidTr="00387110">
        <w:trPr>
          <w:trHeight w:val="70"/>
        </w:trPr>
        <w:tc>
          <w:tcPr>
            <w:tcW w:w="701" w:type="dxa"/>
            <w:gridSpan w:val="2"/>
            <w:vAlign w:val="center"/>
          </w:tcPr>
          <w:p w14:paraId="487AB2C2"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vAlign w:val="center"/>
          </w:tcPr>
          <w:p w14:paraId="26289C03"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projekta rezultātu būs iespējams izmantot sociālās atstumtības riska grupām</w:t>
            </w:r>
          </w:p>
        </w:tc>
        <w:tc>
          <w:tcPr>
            <w:tcW w:w="1394" w:type="dxa"/>
            <w:vAlign w:val="center"/>
          </w:tcPr>
          <w:p w14:paraId="7EF5E94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5C76833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6694BE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1175E21A" w14:textId="1091B0FE" w:rsidTr="00387110">
        <w:trPr>
          <w:trHeight w:val="70"/>
        </w:trPr>
        <w:tc>
          <w:tcPr>
            <w:tcW w:w="701" w:type="dxa"/>
            <w:gridSpan w:val="2"/>
            <w:vAlign w:val="center"/>
          </w:tcPr>
          <w:p w14:paraId="75D242AA"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vAlign w:val="center"/>
          </w:tcPr>
          <w:p w14:paraId="1E546DBE"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projektā paredzētie pasākumi un rezultāts nav paredzēts iedzīvotājiem no sociālās atstumtības riska grupām </w:t>
            </w:r>
          </w:p>
        </w:tc>
        <w:tc>
          <w:tcPr>
            <w:tcW w:w="1394" w:type="dxa"/>
            <w:vAlign w:val="center"/>
          </w:tcPr>
          <w:p w14:paraId="2802E0C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119AA0F1"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403FAC1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1F5DEE74" w14:textId="65BA6B9C" w:rsidTr="00387110">
        <w:trPr>
          <w:trHeight w:val="70"/>
        </w:trPr>
        <w:tc>
          <w:tcPr>
            <w:tcW w:w="701" w:type="dxa"/>
            <w:gridSpan w:val="2"/>
            <w:shd w:val="clear" w:color="auto" w:fill="F2F2F2" w:themeFill="background1" w:themeFillShade="F2"/>
          </w:tcPr>
          <w:p w14:paraId="726FAE93"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9.</w:t>
            </w:r>
          </w:p>
        </w:tc>
        <w:tc>
          <w:tcPr>
            <w:tcW w:w="4092" w:type="dxa"/>
            <w:shd w:val="clear" w:color="auto" w:fill="F2F2F2" w:themeFill="background1" w:themeFillShade="F2"/>
          </w:tcPr>
          <w:p w14:paraId="418920E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Projekts tiek īstenots lauku teritorijā ārpus pilsētām</w:t>
            </w:r>
          </w:p>
        </w:tc>
        <w:tc>
          <w:tcPr>
            <w:tcW w:w="1394" w:type="dxa"/>
            <w:shd w:val="clear" w:color="auto" w:fill="F2F2F2" w:themeFill="background1" w:themeFillShade="F2"/>
            <w:vAlign w:val="center"/>
          </w:tcPr>
          <w:p w14:paraId="44C0468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15E724C0"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3BBF3DC7"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21CB3236" w14:textId="3417B54C" w:rsidTr="00387110">
        <w:tc>
          <w:tcPr>
            <w:tcW w:w="701" w:type="dxa"/>
            <w:gridSpan w:val="2"/>
          </w:tcPr>
          <w:p w14:paraId="68443A71"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1C82E861" w14:textId="77777777" w:rsidR="00387110" w:rsidRPr="00387110" w:rsidRDefault="00387110" w:rsidP="00002A5A">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tiek īstenots lauku teritorijā</w:t>
            </w:r>
          </w:p>
        </w:tc>
        <w:tc>
          <w:tcPr>
            <w:tcW w:w="1394" w:type="dxa"/>
            <w:vAlign w:val="center"/>
          </w:tcPr>
          <w:p w14:paraId="6519973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5AE34DC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C93063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397EC450" w14:textId="7F6345FF" w:rsidTr="00387110">
        <w:tc>
          <w:tcPr>
            <w:tcW w:w="701" w:type="dxa"/>
            <w:gridSpan w:val="2"/>
          </w:tcPr>
          <w:p w14:paraId="0B52068E"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4D22D41" w14:textId="77777777" w:rsidR="00387110" w:rsidRPr="00387110" w:rsidRDefault="00387110" w:rsidP="00002A5A">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tiek īstenots pilsētā ( Ainaži un Salacgrīvā ) </w:t>
            </w:r>
          </w:p>
        </w:tc>
        <w:tc>
          <w:tcPr>
            <w:tcW w:w="1394" w:type="dxa"/>
            <w:vAlign w:val="center"/>
          </w:tcPr>
          <w:p w14:paraId="6E1F153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1A40E22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E8140C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4ADC63A9" w14:textId="5F9FA102" w:rsidTr="00387110">
        <w:trPr>
          <w:trHeight w:val="70"/>
        </w:trPr>
        <w:tc>
          <w:tcPr>
            <w:tcW w:w="701" w:type="dxa"/>
            <w:gridSpan w:val="2"/>
            <w:shd w:val="clear" w:color="auto" w:fill="F2F2F2" w:themeFill="background1" w:themeFillShade="F2"/>
          </w:tcPr>
          <w:p w14:paraId="4F3E145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10.</w:t>
            </w:r>
          </w:p>
        </w:tc>
        <w:tc>
          <w:tcPr>
            <w:tcW w:w="4092" w:type="dxa"/>
            <w:shd w:val="clear" w:color="auto" w:fill="F2F2F2" w:themeFill="background1" w:themeFillShade="F2"/>
          </w:tcPr>
          <w:p w14:paraId="1B9F414C"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 xml:space="preserve">Projektā realizētā gala produkta  pieejamība sabiedrībai </w:t>
            </w:r>
          </w:p>
        </w:tc>
        <w:tc>
          <w:tcPr>
            <w:tcW w:w="1394" w:type="dxa"/>
            <w:shd w:val="clear" w:color="auto" w:fill="F2F2F2" w:themeFill="background1" w:themeFillShade="F2"/>
            <w:vAlign w:val="center"/>
          </w:tcPr>
          <w:p w14:paraId="4798C578"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3FD71CDD"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09F0ADD6"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639B77BD" w14:textId="714991A1" w:rsidTr="00387110">
        <w:tc>
          <w:tcPr>
            <w:tcW w:w="701" w:type="dxa"/>
            <w:gridSpan w:val="2"/>
          </w:tcPr>
          <w:p w14:paraId="03E826C9" w14:textId="77777777" w:rsidR="00387110" w:rsidRPr="00387110" w:rsidRDefault="00387110" w:rsidP="00002A5A">
            <w:pPr>
              <w:suppressAutoHyphens/>
              <w:spacing w:after="0" w:line="240" w:lineRule="auto"/>
              <w:contextualSpacing/>
              <w:jc w:val="center"/>
              <w:rPr>
                <w:rFonts w:ascii="Times New Roman" w:eastAsia="Times New Roman" w:hAnsi="Times New Roman" w:cs="Times New Roman"/>
                <w:kern w:val="0"/>
                <w:sz w:val="24"/>
                <w:szCs w:val="24"/>
                <w:lang w:eastAsia="zh-CN"/>
                <w14:ligatures w14:val="none"/>
              </w:rPr>
            </w:pPr>
          </w:p>
        </w:tc>
        <w:tc>
          <w:tcPr>
            <w:tcW w:w="4092" w:type="dxa"/>
            <w:shd w:val="clear" w:color="auto" w:fill="auto"/>
          </w:tcPr>
          <w:p w14:paraId="7C249F11"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Publiski pieejams 24 stundas 7 dienas  nedēļā visu gadu</w:t>
            </w:r>
          </w:p>
        </w:tc>
        <w:tc>
          <w:tcPr>
            <w:tcW w:w="1394" w:type="dxa"/>
            <w:vAlign w:val="center"/>
          </w:tcPr>
          <w:p w14:paraId="23F75C4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22A1203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E64B1B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7DF7916" w14:textId="6803A15C" w:rsidTr="00387110">
        <w:trPr>
          <w:trHeight w:val="265"/>
        </w:trPr>
        <w:tc>
          <w:tcPr>
            <w:tcW w:w="701" w:type="dxa"/>
            <w:gridSpan w:val="2"/>
          </w:tcPr>
          <w:p w14:paraId="5E4D8219"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E84DD42"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Publiski pieejams 24 stundas 7 dienas tikai sezonāli </w:t>
            </w:r>
          </w:p>
        </w:tc>
        <w:tc>
          <w:tcPr>
            <w:tcW w:w="1394" w:type="dxa"/>
            <w:vAlign w:val="center"/>
          </w:tcPr>
          <w:p w14:paraId="2A29279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28874AF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E52305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4FF6F69B" w14:textId="62168034" w:rsidTr="00387110">
        <w:tc>
          <w:tcPr>
            <w:tcW w:w="701" w:type="dxa"/>
            <w:gridSpan w:val="2"/>
          </w:tcPr>
          <w:p w14:paraId="2334F632"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41D58E4B"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Ierobežota laika pieejamībā un noteiktām mērķa grupām </w:t>
            </w:r>
          </w:p>
        </w:tc>
        <w:tc>
          <w:tcPr>
            <w:tcW w:w="1394" w:type="dxa"/>
            <w:vAlign w:val="center"/>
          </w:tcPr>
          <w:p w14:paraId="38C09A9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0,5</w:t>
            </w:r>
          </w:p>
        </w:tc>
        <w:tc>
          <w:tcPr>
            <w:tcW w:w="1883" w:type="dxa"/>
          </w:tcPr>
          <w:p w14:paraId="725E6647"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441470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4721CC7B" w14:textId="274F7060" w:rsidTr="00387110">
        <w:tc>
          <w:tcPr>
            <w:tcW w:w="701" w:type="dxa"/>
            <w:gridSpan w:val="2"/>
          </w:tcPr>
          <w:p w14:paraId="505F8627"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7BAA6AF1"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Pieejams tikai pēc pieprasījuma  un noteiktai mērķa grupai </w:t>
            </w:r>
          </w:p>
        </w:tc>
        <w:tc>
          <w:tcPr>
            <w:tcW w:w="1394" w:type="dxa"/>
            <w:vAlign w:val="center"/>
          </w:tcPr>
          <w:p w14:paraId="53D5AB8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0A452DF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D96E4A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585A7EDC" w14:textId="10CD881F" w:rsidTr="00387110">
        <w:tc>
          <w:tcPr>
            <w:tcW w:w="701" w:type="dxa"/>
            <w:gridSpan w:val="2"/>
          </w:tcPr>
          <w:p w14:paraId="76AE693D" w14:textId="77777777" w:rsidR="00387110" w:rsidRPr="00387110" w:rsidRDefault="00387110" w:rsidP="00002A5A">
            <w:pPr>
              <w:suppressAutoHyphens/>
              <w:spacing w:after="0" w:line="240" w:lineRule="auto"/>
              <w:rPr>
                <w:rFonts w:ascii="Times New Roman" w:eastAsia="Calibri" w:hAnsi="Times New Roman" w:cs="Times New Roman"/>
                <w:b/>
                <w:bCs/>
                <w:kern w:val="0"/>
                <w:sz w:val="24"/>
                <w:szCs w:val="24"/>
                <w:lang w:eastAsia="zh-CN"/>
                <w14:ligatures w14:val="none"/>
              </w:rPr>
            </w:pPr>
            <w:r w:rsidRPr="00387110">
              <w:rPr>
                <w:rFonts w:ascii="Times New Roman" w:eastAsia="Calibri" w:hAnsi="Times New Roman" w:cs="Times New Roman"/>
                <w:b/>
                <w:bCs/>
                <w:kern w:val="0"/>
                <w:sz w:val="24"/>
                <w:szCs w:val="24"/>
                <w:lang w:eastAsia="zh-CN"/>
                <w14:ligatures w14:val="none"/>
              </w:rPr>
              <w:t>11.</w:t>
            </w:r>
          </w:p>
        </w:tc>
        <w:tc>
          <w:tcPr>
            <w:tcW w:w="4092" w:type="dxa"/>
            <w:shd w:val="clear" w:color="auto" w:fill="auto"/>
          </w:tcPr>
          <w:p w14:paraId="1C085235" w14:textId="77777777" w:rsidR="00387110" w:rsidRPr="00387110" w:rsidRDefault="00387110" w:rsidP="00002A5A">
            <w:pPr>
              <w:spacing w:after="0" w:line="240" w:lineRule="auto"/>
              <w:rPr>
                <w:rFonts w:ascii="Times New Roman" w:hAnsi="Times New Roman" w:cs="Times New Roman"/>
                <w:iCs/>
                <w:kern w:val="0"/>
                <w:sz w:val="24"/>
                <w:szCs w:val="24"/>
                <w:lang w:eastAsia="lv-LV"/>
                <w14:ligatures w14:val="none"/>
              </w:rPr>
            </w:pPr>
            <w:r w:rsidRPr="00387110">
              <w:rPr>
                <w:rFonts w:ascii="Times New Roman" w:hAnsi="Times New Roman" w:cs="Times New Roman"/>
                <w:b/>
                <w:iCs/>
                <w:kern w:val="0"/>
                <w:sz w:val="24"/>
                <w:szCs w:val="24"/>
                <w:lang w:eastAsia="lv-LV"/>
                <w14:ligatures w14:val="none"/>
              </w:rPr>
              <w:t>Projekta ietvaros tiek sasniegts vismaz viens atbilstošās rīcības rezultātu rādītājs</w:t>
            </w:r>
            <w:r w:rsidRPr="00387110">
              <w:rPr>
                <w:rFonts w:ascii="Times New Roman" w:hAnsi="Times New Roman" w:cs="Times New Roman"/>
                <w:b/>
                <w:iCs/>
                <w:kern w:val="0"/>
                <w:sz w:val="24"/>
                <w:szCs w:val="24"/>
                <w:vertAlign w:val="superscript"/>
                <w:lang w:eastAsia="lv-LV"/>
                <w14:ligatures w14:val="none"/>
              </w:rPr>
              <w:footnoteReference w:id="8"/>
            </w:r>
            <w:r w:rsidRPr="00387110">
              <w:rPr>
                <w:rFonts w:ascii="Times New Roman" w:hAnsi="Times New Roman" w:cs="Times New Roman"/>
                <w:iCs/>
                <w:kern w:val="0"/>
                <w:sz w:val="24"/>
                <w:szCs w:val="24"/>
                <w:lang w:eastAsia="lv-LV"/>
                <w14:ligatures w14:val="none"/>
              </w:rPr>
              <w:t xml:space="preserve"> </w:t>
            </w:r>
          </w:p>
        </w:tc>
        <w:tc>
          <w:tcPr>
            <w:tcW w:w="1394" w:type="dxa"/>
            <w:vAlign w:val="center"/>
          </w:tcPr>
          <w:p w14:paraId="0646774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tcPr>
          <w:p w14:paraId="0AADD0F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37EBD75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61859788" w14:textId="6DB1FD46" w:rsidTr="00387110">
        <w:tc>
          <w:tcPr>
            <w:tcW w:w="701" w:type="dxa"/>
            <w:gridSpan w:val="2"/>
          </w:tcPr>
          <w:p w14:paraId="22C1B43C"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7C2C345D" w14:textId="77777777" w:rsidR="00387110" w:rsidRPr="00387110" w:rsidRDefault="00387110" w:rsidP="00002A5A">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387110">
              <w:rPr>
                <w:rFonts w:ascii="Times New Roman" w:hAnsi="Times New Roman" w:cs="Times New Roman"/>
                <w:bCs/>
                <w:iCs/>
                <w:kern w:val="0"/>
                <w:sz w:val="24"/>
                <w:szCs w:val="24"/>
                <w:lang w:eastAsia="lv-LV"/>
                <w14:ligatures w14:val="none"/>
              </w:rPr>
              <w:t>sasniegti divi un vairāk rādītāji</w:t>
            </w:r>
            <w:r w:rsidRPr="00387110">
              <w:rPr>
                <w:rFonts w:ascii="Times New Roman" w:hAnsi="Times New Roman" w:cs="Times New Roman"/>
                <w:b/>
                <w:i/>
                <w:kern w:val="0"/>
                <w:sz w:val="24"/>
                <w:szCs w:val="24"/>
                <w:lang w:eastAsia="lv-LV"/>
                <w14:ligatures w14:val="none"/>
              </w:rPr>
              <w:t xml:space="preserve"> </w:t>
            </w:r>
          </w:p>
        </w:tc>
        <w:tc>
          <w:tcPr>
            <w:tcW w:w="1394" w:type="dxa"/>
            <w:vAlign w:val="center"/>
          </w:tcPr>
          <w:p w14:paraId="46E1DA6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2BD3313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04E553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00C538E" w14:textId="3829449A" w:rsidTr="00387110">
        <w:tc>
          <w:tcPr>
            <w:tcW w:w="701" w:type="dxa"/>
            <w:gridSpan w:val="2"/>
          </w:tcPr>
          <w:p w14:paraId="5D1339FC"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45A462DF" w14:textId="77777777" w:rsidR="00387110" w:rsidRPr="00387110" w:rsidRDefault="00387110" w:rsidP="00002A5A">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387110">
              <w:rPr>
                <w:rFonts w:ascii="Times New Roman" w:hAnsi="Times New Roman" w:cs="Times New Roman"/>
                <w:bCs/>
                <w:iCs/>
                <w:kern w:val="0"/>
                <w:sz w:val="24"/>
                <w:szCs w:val="24"/>
                <w:lang w:eastAsia="lv-LV"/>
                <w14:ligatures w14:val="none"/>
              </w:rPr>
              <w:t>sasniegts viens rādītājs</w:t>
            </w:r>
          </w:p>
        </w:tc>
        <w:tc>
          <w:tcPr>
            <w:tcW w:w="1394" w:type="dxa"/>
            <w:vAlign w:val="center"/>
          </w:tcPr>
          <w:p w14:paraId="4E71D52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03DCE11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239A54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521AE39" w14:textId="1887879E" w:rsidTr="00387110">
        <w:tc>
          <w:tcPr>
            <w:tcW w:w="701" w:type="dxa"/>
            <w:gridSpan w:val="2"/>
          </w:tcPr>
          <w:p w14:paraId="73EE1C24"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10BA7BB5" w14:textId="77777777" w:rsidR="00387110" w:rsidRPr="00387110" w:rsidRDefault="00387110" w:rsidP="00002A5A">
            <w:pPr>
              <w:numPr>
                <w:ilvl w:val="0"/>
                <w:numId w:val="1"/>
              </w:numPr>
              <w:spacing w:after="0" w:line="240" w:lineRule="auto"/>
              <w:contextualSpacing/>
              <w:jc w:val="both"/>
              <w:rPr>
                <w:rFonts w:ascii="Times New Roman" w:hAnsi="Times New Roman" w:cs="Times New Roman"/>
                <w:b/>
                <w:i/>
                <w:kern w:val="0"/>
                <w:sz w:val="24"/>
                <w:szCs w:val="24"/>
                <w:lang w:eastAsia="lv-LV"/>
                <w14:ligatures w14:val="none"/>
              </w:rPr>
            </w:pPr>
            <w:r w:rsidRPr="00387110">
              <w:rPr>
                <w:rFonts w:ascii="Times New Roman" w:hAnsi="Times New Roman" w:cs="Times New Roman"/>
                <w:bCs/>
                <w:iCs/>
                <w:kern w:val="0"/>
                <w:sz w:val="24"/>
                <w:szCs w:val="24"/>
                <w:lang w:eastAsia="lv-LV"/>
                <w14:ligatures w14:val="none"/>
              </w:rPr>
              <w:t xml:space="preserve"> nav skaidri noformēts un aprakstīts sasniedzamais rādītājs</w:t>
            </w:r>
            <w:r w:rsidRPr="00387110">
              <w:rPr>
                <w:rFonts w:ascii="Times New Roman" w:hAnsi="Times New Roman" w:cs="Times New Roman"/>
                <w:b/>
                <w:i/>
                <w:kern w:val="0"/>
                <w:sz w:val="24"/>
                <w:szCs w:val="24"/>
                <w:lang w:eastAsia="lv-LV"/>
                <w14:ligatures w14:val="none"/>
              </w:rPr>
              <w:t xml:space="preserve"> </w:t>
            </w:r>
          </w:p>
        </w:tc>
        <w:tc>
          <w:tcPr>
            <w:tcW w:w="1394" w:type="dxa"/>
            <w:vAlign w:val="center"/>
          </w:tcPr>
          <w:p w14:paraId="5D287BC9"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302C9A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26A698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685C98F" w14:textId="6760260E" w:rsidTr="00387110">
        <w:trPr>
          <w:trHeight w:val="546"/>
        </w:trPr>
        <w:tc>
          <w:tcPr>
            <w:tcW w:w="701" w:type="dxa"/>
            <w:gridSpan w:val="2"/>
            <w:shd w:val="clear" w:color="auto" w:fill="F2F2F2" w:themeFill="background1" w:themeFillShade="F2"/>
            <w:vAlign w:val="center"/>
          </w:tcPr>
          <w:p w14:paraId="2825C99A"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lastRenderedPageBreak/>
              <w:t>12.</w:t>
            </w:r>
          </w:p>
        </w:tc>
        <w:tc>
          <w:tcPr>
            <w:tcW w:w="4092" w:type="dxa"/>
            <w:shd w:val="clear" w:color="auto" w:fill="F2F2F2" w:themeFill="background1" w:themeFillShade="F2"/>
            <w:vAlign w:val="center"/>
          </w:tcPr>
          <w:p w14:paraId="4CB3ED64"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Sniegts apraksts par projekta ieguvumu uzturēšanu pēc projekta ieviešanas</w:t>
            </w:r>
          </w:p>
        </w:tc>
        <w:tc>
          <w:tcPr>
            <w:tcW w:w="1394" w:type="dxa"/>
            <w:shd w:val="clear" w:color="auto" w:fill="F2F2F2" w:themeFill="background1" w:themeFillShade="F2"/>
            <w:vAlign w:val="center"/>
          </w:tcPr>
          <w:p w14:paraId="2DA6E401"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511808EE"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6EA0CD2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0F4002C2" w14:textId="29EAA0B1" w:rsidTr="00387110">
        <w:tc>
          <w:tcPr>
            <w:tcW w:w="701" w:type="dxa"/>
            <w:gridSpan w:val="2"/>
          </w:tcPr>
          <w:p w14:paraId="059272EE"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E4FD13A"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pieteikumā pamatots, kā tiks nodrošināta projekta uzturēšana un rezultātu izmantošana atbilstoši plānotajam mērķim vismaz 5 gadus pēc projekta īstenošanas</w:t>
            </w:r>
          </w:p>
        </w:tc>
        <w:tc>
          <w:tcPr>
            <w:tcW w:w="1394" w:type="dxa"/>
            <w:vAlign w:val="center"/>
          </w:tcPr>
          <w:p w14:paraId="371A83D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13751C5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9236C3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1CDA1D5" w14:textId="4EFB1926" w:rsidTr="00387110">
        <w:tc>
          <w:tcPr>
            <w:tcW w:w="701" w:type="dxa"/>
            <w:gridSpan w:val="2"/>
          </w:tcPr>
          <w:p w14:paraId="25B67C6F"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4D06B64"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pieteikums nesniedz skaidru priekšstatu par tā ilgtspēju, uzturēšanu un nav pamatots, kā tiks nodrošināta projekta uzturēšana un rezultātu izmantošana atbilstoši plānotajam mērķim vismaz 5 gadus pēc projekta īstenošanas</w:t>
            </w:r>
          </w:p>
        </w:tc>
        <w:tc>
          <w:tcPr>
            <w:tcW w:w="1394" w:type="dxa"/>
            <w:vAlign w:val="center"/>
          </w:tcPr>
          <w:p w14:paraId="2AB4B69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04AF9BE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200B63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bl>
    <w:p w14:paraId="390F417A" w14:textId="77777777" w:rsidR="00387110" w:rsidRPr="00387110" w:rsidRDefault="00387110" w:rsidP="00387110">
      <w:pPr>
        <w:jc w:val="center"/>
        <w:rPr>
          <w:rFonts w:ascii="Times New Roman" w:hAnsi="Times New Roman" w:cs="Times New Roman"/>
          <w:sz w:val="24"/>
          <w:szCs w:val="24"/>
        </w:rPr>
      </w:pPr>
    </w:p>
    <w:sectPr w:rsidR="00387110" w:rsidRPr="00387110" w:rsidSect="00B670F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3FDB" w14:textId="77777777" w:rsidR="00B670F0" w:rsidRDefault="00B670F0" w:rsidP="00387110">
      <w:pPr>
        <w:spacing w:after="0" w:line="240" w:lineRule="auto"/>
      </w:pPr>
      <w:r>
        <w:separator/>
      </w:r>
    </w:p>
  </w:endnote>
  <w:endnote w:type="continuationSeparator" w:id="0">
    <w:p w14:paraId="2DC2A779" w14:textId="77777777" w:rsidR="00B670F0" w:rsidRDefault="00B670F0" w:rsidP="0038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F3B3" w14:textId="77777777" w:rsidR="00B670F0" w:rsidRDefault="00B670F0" w:rsidP="00387110">
      <w:pPr>
        <w:spacing w:after="0" w:line="240" w:lineRule="auto"/>
      </w:pPr>
      <w:r>
        <w:separator/>
      </w:r>
    </w:p>
  </w:footnote>
  <w:footnote w:type="continuationSeparator" w:id="0">
    <w:p w14:paraId="7672F89F" w14:textId="77777777" w:rsidR="00B670F0" w:rsidRDefault="00B670F0" w:rsidP="00387110">
      <w:pPr>
        <w:spacing w:after="0" w:line="240" w:lineRule="auto"/>
      </w:pPr>
      <w:r>
        <w:continuationSeparator/>
      </w:r>
    </w:p>
  </w:footnote>
  <w:footnote w:id="1">
    <w:p w14:paraId="78C6668E" w14:textId="77777777" w:rsidR="00387110" w:rsidRPr="002F10DB" w:rsidRDefault="00387110" w:rsidP="00387110">
      <w:pPr>
        <w:pStyle w:val="Vresteksts"/>
        <w:rPr>
          <w:rFonts w:ascii="Times New Roman" w:hAnsi="Times New Roman" w:cs="Times New Roman"/>
          <w:sz w:val="16"/>
          <w:szCs w:val="16"/>
        </w:rPr>
      </w:pPr>
      <w:r w:rsidRPr="002F10DB">
        <w:rPr>
          <w:rStyle w:val="Vresatsauce"/>
          <w:rFonts w:ascii="Times New Roman" w:hAnsi="Times New Roman" w:cs="Times New Roman"/>
          <w:sz w:val="16"/>
          <w:szCs w:val="16"/>
        </w:rPr>
        <w:footnoteRef/>
      </w:r>
      <w:r w:rsidRPr="002F10DB">
        <w:rPr>
          <w:rFonts w:ascii="Times New Roman" w:hAnsi="Times New Roman" w:cs="Times New Roman"/>
          <w:sz w:val="16"/>
          <w:szCs w:val="16"/>
        </w:rPr>
        <w:t xml:space="preserve"> Kritērijā Nr.2  maksimālais punktu skaits, ko var iegūt šajā ir 2 punkti</w:t>
      </w:r>
    </w:p>
  </w:footnote>
  <w:footnote w:id="2">
    <w:p w14:paraId="6E59514A" w14:textId="77777777" w:rsidR="00387110" w:rsidRPr="002F10DB" w:rsidRDefault="00387110" w:rsidP="00387110">
      <w:pPr>
        <w:pStyle w:val="Vresteksts"/>
        <w:rPr>
          <w:rFonts w:ascii="Times New Roman" w:hAnsi="Times New Roman" w:cs="Times New Roman"/>
          <w:sz w:val="16"/>
          <w:szCs w:val="16"/>
        </w:rPr>
      </w:pPr>
      <w:r w:rsidRPr="002F10DB">
        <w:rPr>
          <w:rStyle w:val="Vresatsauce"/>
          <w:rFonts w:ascii="Times New Roman" w:hAnsi="Times New Roman" w:cs="Times New Roman"/>
          <w:sz w:val="16"/>
          <w:szCs w:val="16"/>
        </w:rPr>
        <w:footnoteRef/>
      </w:r>
      <w:r w:rsidRPr="002F10DB">
        <w:rPr>
          <w:rFonts w:ascii="Times New Roman" w:hAnsi="Times New Roman" w:cs="Times New Roman"/>
          <w:sz w:val="16"/>
          <w:szCs w:val="16"/>
        </w:rPr>
        <w:t xml:space="preserve"> Dokumentāciju, kas saistīta ar būvniecību, t.sk., iepirkuma dokumentāciju, kas saistīti ar būvniecības izmaksām var iesniegt kopā ar projekta iesniegumu vai sešu mēnešu laikā pēc dienas, kad stājies spēkā Lauku atbalsta dienesta lēmums par projekta apstiprināšanu,  atbilstoši 1</w:t>
      </w:r>
      <w:r>
        <w:rPr>
          <w:rFonts w:ascii="Times New Roman" w:hAnsi="Times New Roman" w:cs="Times New Roman"/>
          <w:sz w:val="16"/>
          <w:szCs w:val="16"/>
        </w:rPr>
        <w:t>0</w:t>
      </w:r>
      <w:r w:rsidRPr="002F10DB">
        <w:rPr>
          <w:rFonts w:ascii="Times New Roman" w:hAnsi="Times New Roman" w:cs="Times New Roman"/>
          <w:sz w:val="16"/>
          <w:szCs w:val="16"/>
        </w:rPr>
        <w:t xml:space="preserve">.10.20.2023. MK Not. Nt.580   51.punktā noteiktajam.  </w:t>
      </w:r>
    </w:p>
  </w:footnote>
  <w:footnote w:id="3">
    <w:p w14:paraId="73907FE3" w14:textId="77777777" w:rsidR="00387110" w:rsidRPr="002F10DB" w:rsidRDefault="00387110" w:rsidP="00387110">
      <w:pPr>
        <w:pStyle w:val="Vresteksts"/>
        <w:rPr>
          <w:rFonts w:ascii="Times New Roman" w:hAnsi="Times New Roman" w:cs="Times New Roman"/>
          <w:sz w:val="16"/>
          <w:szCs w:val="16"/>
        </w:rPr>
      </w:pPr>
      <w:r w:rsidRPr="002F10DB">
        <w:rPr>
          <w:rStyle w:val="Vresatsauce"/>
          <w:rFonts w:ascii="Times New Roman" w:hAnsi="Times New Roman" w:cs="Times New Roman"/>
          <w:sz w:val="16"/>
          <w:szCs w:val="16"/>
        </w:rPr>
        <w:footnoteRef/>
      </w:r>
      <w:r w:rsidRPr="002F10DB">
        <w:rPr>
          <w:rFonts w:ascii="Times New Roman" w:hAnsi="Times New Roman" w:cs="Times New Roman"/>
          <w:sz w:val="16"/>
          <w:szCs w:val="16"/>
        </w:rPr>
        <w:t xml:space="preserve"> Atbilstoši </w:t>
      </w:r>
      <w:r>
        <w:rPr>
          <w:rFonts w:ascii="Times New Roman" w:hAnsi="Times New Roman" w:cs="Times New Roman"/>
          <w:sz w:val="16"/>
          <w:szCs w:val="16"/>
        </w:rPr>
        <w:t>1</w:t>
      </w:r>
      <w:r>
        <w:rPr>
          <w:sz w:val="16"/>
          <w:szCs w:val="16"/>
        </w:rPr>
        <w:t>0.10.</w:t>
      </w:r>
      <w:r w:rsidRPr="00C412F3">
        <w:rPr>
          <w:sz w:val="16"/>
          <w:szCs w:val="16"/>
        </w:rPr>
        <w:t xml:space="preserve">2023. </w:t>
      </w:r>
      <w:hyperlink r:id="rId1" w:history="1">
        <w:r w:rsidRPr="00E3427B">
          <w:rPr>
            <w:rStyle w:val="Hipersaite"/>
            <w:sz w:val="16"/>
            <w:szCs w:val="16"/>
          </w:rPr>
          <w:t xml:space="preserve">MK Not. Nt.580  </w:t>
        </w:r>
      </w:hyperlink>
      <w:r w:rsidRPr="002F10DB">
        <w:rPr>
          <w:rFonts w:ascii="Times New Roman" w:hAnsi="Times New Roman" w:cs="Times New Roman"/>
          <w:sz w:val="16"/>
          <w:szCs w:val="16"/>
        </w:rPr>
        <w:t xml:space="preserve">48.punktam  un SVVA stratēģijas 3.1..nodaļā noteiktajam. </w:t>
      </w:r>
    </w:p>
  </w:footnote>
  <w:footnote w:id="4">
    <w:p w14:paraId="098718FC" w14:textId="77777777" w:rsidR="00387110" w:rsidRPr="002F10DB" w:rsidRDefault="00387110" w:rsidP="00387110">
      <w:pPr>
        <w:spacing w:line="240" w:lineRule="auto"/>
        <w:jc w:val="both"/>
        <w:rPr>
          <w:rFonts w:cs="Times New Roman"/>
          <w:sz w:val="16"/>
          <w:szCs w:val="16"/>
        </w:rPr>
      </w:pPr>
      <w:r w:rsidRPr="002F10DB">
        <w:rPr>
          <w:rStyle w:val="Vresatsauce"/>
          <w:rFonts w:cs="Times New Roman"/>
          <w:sz w:val="16"/>
          <w:szCs w:val="16"/>
        </w:rPr>
        <w:footnoteRef/>
      </w:r>
      <w:r w:rsidRPr="002F10DB">
        <w:rPr>
          <w:rFonts w:cs="Times New Roman"/>
          <w:sz w:val="16"/>
          <w:szCs w:val="16"/>
        </w:rPr>
        <w:t xml:space="preserve"> SVVA 34 lpp. Inovācija - jaunas zinātniskās, tehniskās, sociālās, kultūras vai citas jomas ideju, izstrādņu un tehnoloģiju īstenošana produktā, pakalpojumā vai procesā.</w:t>
      </w:r>
      <w:r w:rsidRPr="002F10DB">
        <w:rPr>
          <w:rStyle w:val="Vresatsauce"/>
          <w:rFonts w:cs="Times New Roman"/>
          <w:sz w:val="16"/>
          <w:szCs w:val="16"/>
        </w:rPr>
        <w:footnoteRef/>
      </w:r>
      <w:r w:rsidRPr="002F10DB">
        <w:rPr>
          <w:rFonts w:cs="Times New Roman"/>
          <w:sz w:val="16"/>
          <w:szCs w:val="16"/>
        </w:rPr>
        <w:t xml:space="preserve"> Tā ir zināšanu praktiskās pielietošanas process, kā rezultātā tiek radīti tirgū pieprasīti, konkurētspējīgi jauni  vai uzlaboti produkti un pakalpojumi ar augstu pievienoto vērtību.</w:t>
      </w:r>
    </w:p>
    <w:p w14:paraId="1ED63638" w14:textId="77777777" w:rsidR="00387110" w:rsidRDefault="00387110" w:rsidP="00387110">
      <w:pPr>
        <w:pStyle w:val="Vresteksts"/>
      </w:pPr>
    </w:p>
  </w:footnote>
  <w:footnote w:id="5">
    <w:p w14:paraId="1AEABE70" w14:textId="77777777" w:rsidR="00387110" w:rsidRPr="002F10DB" w:rsidRDefault="00387110" w:rsidP="00387110">
      <w:pPr>
        <w:spacing w:before="280" w:after="280"/>
        <w:jc w:val="both"/>
        <w:rPr>
          <w:rFonts w:cs="Times New Roman"/>
          <w:sz w:val="16"/>
          <w:szCs w:val="16"/>
        </w:rPr>
      </w:pPr>
      <w:r w:rsidRPr="002F10DB">
        <w:rPr>
          <w:rStyle w:val="Vresatsauce"/>
          <w:rFonts w:cs="Times New Roman"/>
          <w:sz w:val="16"/>
          <w:szCs w:val="16"/>
        </w:rPr>
        <w:footnoteRef/>
      </w:r>
      <w:r w:rsidRPr="002F10DB">
        <w:rPr>
          <w:rFonts w:cs="Times New Roman"/>
          <w:sz w:val="16"/>
          <w:szCs w:val="16"/>
        </w:rPr>
        <w:t xml:space="preserve"> Balstoties uz teritorijas situāciju raksturojošo datu analīzi iedzīvotāju viedokļu izzināšanu semināros, darba grupās un aptaujā, kā teritorijai attīstībai aktuālo plānošanas dokumentu analīzi, veikta Biedrības stipro un vājo pušu, iespēju un draudu izvērtēšana (skat. Tabula Nr. 5 Stratēģija )</w:t>
      </w:r>
    </w:p>
  </w:footnote>
  <w:footnote w:id="6">
    <w:p w14:paraId="3A989C17" w14:textId="77777777" w:rsidR="00387110" w:rsidRDefault="00387110" w:rsidP="00387110">
      <w:pPr>
        <w:pStyle w:val="Vresteksts"/>
        <w:rPr>
          <w:rFonts w:ascii="Times New Roman" w:hAnsi="Times New Roman" w:cs="Times New Roman"/>
          <w:sz w:val="16"/>
          <w:szCs w:val="16"/>
        </w:rPr>
      </w:pPr>
      <w:r>
        <w:rPr>
          <w:rStyle w:val="Vresatsauce"/>
        </w:rPr>
        <w:footnoteRef/>
      </w:r>
      <w:r>
        <w:t xml:space="preserve"> </w:t>
      </w:r>
      <w:r w:rsidRPr="00283CA0">
        <w:rPr>
          <w:rFonts w:ascii="Times New Roman" w:hAnsi="Times New Roman" w:cs="Times New Roman"/>
          <w:sz w:val="16"/>
          <w:szCs w:val="16"/>
        </w:rPr>
        <w:t xml:space="preserve">Sociāli </w:t>
      </w:r>
      <w:proofErr w:type="spellStart"/>
      <w:r w:rsidRPr="00283CA0">
        <w:rPr>
          <w:rFonts w:ascii="Times New Roman" w:hAnsi="Times New Roman" w:cs="Times New Roman"/>
          <w:sz w:val="16"/>
          <w:szCs w:val="16"/>
        </w:rPr>
        <w:t>mazaizsargātās</w:t>
      </w:r>
      <w:proofErr w:type="spellEnd"/>
      <w:r w:rsidRPr="00283CA0">
        <w:rPr>
          <w:rFonts w:ascii="Times New Roman" w:hAnsi="Times New Roman" w:cs="Times New Roman"/>
          <w:sz w:val="16"/>
          <w:szCs w:val="16"/>
        </w:rPr>
        <w:t xml:space="preserve"> iedzīvotāju grupas:  ģimenes, kuras audzina trīs un vairāk bērnus; nepilnās ģimenes; personas ar invaliditāti; personas virs darbaspējas vecuma; 15–25 gadus veci jaunieši; personas, kuras atbrīvotas no brīvības atņemšanas iestādēm; ilgstošie bezdarbnieki; bezpajumtnieki; </w:t>
      </w:r>
      <w:proofErr w:type="spellStart"/>
      <w:r w:rsidRPr="00283CA0">
        <w:rPr>
          <w:rFonts w:ascii="Times New Roman" w:hAnsi="Times New Roman" w:cs="Times New Roman"/>
          <w:sz w:val="16"/>
          <w:szCs w:val="16"/>
        </w:rPr>
        <w:t>cilvēktirdzniecības</w:t>
      </w:r>
      <w:proofErr w:type="spellEnd"/>
      <w:r w:rsidRPr="00283CA0">
        <w:rPr>
          <w:rFonts w:ascii="Times New Roman" w:hAnsi="Times New Roman" w:cs="Times New Roman"/>
          <w:sz w:val="16"/>
          <w:szCs w:val="16"/>
        </w:rPr>
        <w:t xml:space="preserve"> upuri; politiski represētās personas; personas, kurām stihisku </w:t>
      </w:r>
      <w:proofErr w:type="spellStart"/>
      <w:r w:rsidRPr="00283CA0">
        <w:rPr>
          <w:rFonts w:ascii="Times New Roman" w:hAnsi="Times New Roman" w:cs="Times New Roman"/>
          <w:sz w:val="16"/>
          <w:szCs w:val="16"/>
        </w:rPr>
        <w:t>nelaimju</w:t>
      </w:r>
      <w:proofErr w:type="spellEnd"/>
      <w:r w:rsidRPr="00283CA0">
        <w:rPr>
          <w:rFonts w:ascii="Times New Roman" w:hAnsi="Times New Roman" w:cs="Times New Roman"/>
          <w:sz w:val="16"/>
          <w:szCs w:val="16"/>
        </w:rPr>
        <w:t xml:space="preserve"> vai dabas katastrofu dēļ ir nodarīts kaitējums, vai viņu ģimenes; Černobiļas atomelektrostacijas avārijas seku likvidēšanas dalībnieki un viņu ģimenes, Černobiļas atomelektrostacijas avārijas dēļ cietušās personas un viņu ģimenes; personas ar alkohola, narkotisko, psihotropo, toksisko vielu, azartspēļu vai datorspēļu atkarības problēmām un viņu ģimenes </w:t>
      </w:r>
      <w:proofErr w:type="spellStart"/>
      <w:r w:rsidRPr="00283CA0">
        <w:rPr>
          <w:rFonts w:ascii="Times New Roman" w:hAnsi="Times New Roman" w:cs="Times New Roman"/>
          <w:sz w:val="16"/>
          <w:szCs w:val="16"/>
        </w:rPr>
        <w:t>ģimenes</w:t>
      </w:r>
      <w:proofErr w:type="spellEnd"/>
      <w:r w:rsidRPr="00283CA0">
        <w:rPr>
          <w:rFonts w:ascii="Times New Roman" w:hAnsi="Times New Roman" w:cs="Times New Roman"/>
          <w:sz w:val="16"/>
          <w:szCs w:val="16"/>
        </w:rPr>
        <w:t xml:space="preserve">, kuras audzina bērnu ar invaliditāti; bērni; no vardarbības cietušās personas (atbilstoši </w:t>
      </w:r>
      <w:r w:rsidRPr="007C2BD9">
        <w:rPr>
          <w:rFonts w:ascii="Times New Roman" w:hAnsi="Times New Roman" w:cs="Times New Roman"/>
          <w:sz w:val="16"/>
          <w:szCs w:val="16"/>
        </w:rPr>
        <w:t xml:space="preserve">2005.gada 11.janvāra </w:t>
      </w:r>
      <w:hyperlink r:id="rId2" w:history="1">
        <w:r w:rsidRPr="007C2BD9">
          <w:rPr>
            <w:rStyle w:val="Hipersaite"/>
            <w:rFonts w:ascii="Times New Roman" w:hAnsi="Times New Roman" w:cs="Times New Roman"/>
            <w:sz w:val="16"/>
            <w:szCs w:val="16"/>
          </w:rPr>
          <w:t>Ministru kabineta noteikumiem Nr.32</w:t>
        </w:r>
      </w:hyperlink>
      <w:r w:rsidRPr="007C2BD9">
        <w:rPr>
          <w:rFonts w:ascii="Times New Roman" w:hAnsi="Times New Roman" w:cs="Times New Roman"/>
          <w:sz w:val="16"/>
          <w:szCs w:val="16"/>
        </w:rPr>
        <w:t xml:space="preserve"> “Noteikumi par sociāli </w:t>
      </w:r>
      <w:proofErr w:type="spellStart"/>
      <w:r w:rsidRPr="007C2BD9">
        <w:rPr>
          <w:rFonts w:ascii="Times New Roman" w:hAnsi="Times New Roman" w:cs="Times New Roman"/>
          <w:sz w:val="16"/>
          <w:szCs w:val="16"/>
        </w:rPr>
        <w:t>mazaizsargāto</w:t>
      </w:r>
      <w:proofErr w:type="spellEnd"/>
      <w:r w:rsidRPr="007C2BD9">
        <w:rPr>
          <w:rFonts w:ascii="Times New Roman" w:hAnsi="Times New Roman" w:cs="Times New Roman"/>
          <w:sz w:val="16"/>
          <w:szCs w:val="16"/>
        </w:rPr>
        <w:t xml:space="preserve"> personu grupām</w:t>
      </w:r>
    </w:p>
    <w:p w14:paraId="0BA8EA30" w14:textId="77777777" w:rsidR="00387110" w:rsidRPr="007C2BD9" w:rsidRDefault="00387110" w:rsidP="00387110">
      <w:pPr>
        <w:pStyle w:val="Vresteksts"/>
      </w:pPr>
    </w:p>
  </w:footnote>
  <w:footnote w:id="7">
    <w:p w14:paraId="6A2CE005" w14:textId="77777777" w:rsidR="00387110" w:rsidRPr="002F10DB" w:rsidRDefault="00387110" w:rsidP="00387110">
      <w:pPr>
        <w:jc w:val="both"/>
        <w:rPr>
          <w:rFonts w:eastAsia="Times New Roman" w:cs="Times New Roman"/>
          <w:sz w:val="16"/>
          <w:szCs w:val="16"/>
        </w:rPr>
      </w:pPr>
      <w:r w:rsidRPr="007C2BD9">
        <w:rPr>
          <w:rFonts w:cs="Times New Roman"/>
          <w:sz w:val="16"/>
          <w:szCs w:val="16"/>
          <w:shd w:val="clear" w:color="auto" w:fill="FFFFFF"/>
        </w:rPr>
        <w:t>8 Noteikumi par sociālās atstumtības riskam pakļauto iedzīvotāju grupām un sociālā uzņēmuma statusa piešķiršanas, reģistrēšanas un uzraudzības kārtību. II sadaļa.</w:t>
      </w:r>
    </w:p>
  </w:footnote>
  <w:footnote w:id="8">
    <w:p w14:paraId="12D88EAA" w14:textId="77777777" w:rsidR="00387110" w:rsidRPr="00AD2E5C" w:rsidRDefault="00387110" w:rsidP="00387110">
      <w:pPr>
        <w:pStyle w:val="Vresteksts"/>
        <w:rPr>
          <w:rFonts w:ascii="Times New Roman" w:hAnsi="Times New Roman"/>
          <w:sz w:val="16"/>
          <w:szCs w:val="16"/>
          <w:lang w:eastAsia="ar-SA"/>
        </w:rPr>
      </w:pPr>
      <w:r>
        <w:rPr>
          <w:rStyle w:val="Vresatsauce"/>
          <w:rFonts w:ascii="Times New Roman" w:hAnsi="Times New Roman"/>
          <w:sz w:val="16"/>
          <w:szCs w:val="16"/>
        </w:rPr>
        <w:footnoteRef/>
      </w:r>
      <w:r>
        <w:rPr>
          <w:rFonts w:ascii="Times New Roman" w:hAnsi="Times New Roman"/>
          <w:sz w:val="16"/>
          <w:szCs w:val="16"/>
        </w:rPr>
        <w:t xml:space="preserve"> Skatīt Rīcības plāna 7.aili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4DF8"/>
    <w:multiLevelType w:val="hybridMultilevel"/>
    <w:tmpl w:val="CFDE2F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253901">
    <w:abstractNumId w:val="1"/>
  </w:num>
  <w:num w:numId="2" w16cid:durableId="142757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10"/>
    <w:rsid w:val="00031686"/>
    <w:rsid w:val="00387110"/>
    <w:rsid w:val="005F67F3"/>
    <w:rsid w:val="00AE5038"/>
    <w:rsid w:val="00B670F0"/>
    <w:rsid w:val="00C50516"/>
    <w:rsid w:val="00F81D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8F33"/>
  <w15:chartTrackingRefBased/>
  <w15:docId w15:val="{6DE05718-6BD6-4F75-A2B9-4175939B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87110"/>
    <w:rPr>
      <w:color w:val="0563C1" w:themeColor="hyperlink"/>
      <w:u w:val="single"/>
    </w:rPr>
  </w:style>
  <w:style w:type="paragraph" w:styleId="Vresteksts">
    <w:name w:val="footnote text"/>
    <w:aliases w:val="Footnote,Fußnote,Schriftart: 9 pt,Schriftart: 10 pt,Schriftart: 8 pt,WB-Fußnotentext,fn,Footnotes,Footnote ak"/>
    <w:basedOn w:val="Parasts"/>
    <w:link w:val="VrestekstsRakstz"/>
    <w:uiPriority w:val="99"/>
    <w:unhideWhenUsed/>
    <w:rsid w:val="00387110"/>
    <w:pPr>
      <w:spacing w:after="0" w:line="240" w:lineRule="auto"/>
    </w:pPr>
    <w:rPr>
      <w:kern w:val="0"/>
      <w:sz w:val="20"/>
      <w:szCs w:val="20"/>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rsid w:val="00387110"/>
    <w:rPr>
      <w:kern w:val="0"/>
      <w:sz w:val="20"/>
      <w:szCs w:val="20"/>
    </w:rPr>
  </w:style>
  <w:style w:type="character" w:styleId="Vresatsauce">
    <w:name w:val="footnote reference"/>
    <w:aliases w:val="Footnote Reference Number"/>
    <w:uiPriority w:val="99"/>
    <w:rsid w:val="00387110"/>
    <w:rPr>
      <w:vertAlign w:val="superscript"/>
    </w:rPr>
  </w:style>
  <w:style w:type="paragraph" w:styleId="Sarakstarindkopa">
    <w:name w:val="List Paragraph"/>
    <w:basedOn w:val="Parasts"/>
    <w:uiPriority w:val="34"/>
    <w:qFormat/>
    <w:rsid w:val="00387110"/>
    <w:pPr>
      <w:ind w:left="720" w:right="567" w:firstLine="567"/>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99488-noteikumi-par-sociali-mazaizsargato-personu-grupam" TargetMode="External"/><Relationship Id="rId1" Type="http://schemas.openxmlformats.org/officeDocument/2006/relationships/hyperlink" Target="https://likumi.lv/ta/id/346333-valsts-un-eiropas-savienibas-atbalsta-pieskirsanas-kartiba-eiropas-lauksaimniecibas-fonda-lauku-attistibai-intervence-darbi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2775</Words>
  <Characters>1582</Characters>
  <Application>Microsoft Office Word</Application>
  <DocSecurity>0</DocSecurity>
  <Lines>13</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Eizenberga</dc:creator>
  <cp:keywords/>
  <dc:description/>
  <cp:lastModifiedBy>Dzintra Eizenberga</cp:lastModifiedBy>
  <cp:revision>2</cp:revision>
  <dcterms:created xsi:type="dcterms:W3CDTF">2024-01-26T11:19:00Z</dcterms:created>
  <dcterms:modified xsi:type="dcterms:W3CDTF">2024-01-26T11:19:00Z</dcterms:modified>
</cp:coreProperties>
</file>