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812"/>
        <w:gridCol w:w="1267"/>
        <w:gridCol w:w="1744"/>
        <w:gridCol w:w="6661"/>
      </w:tblGrid>
      <w:tr w:rsidR="00704A9D" w:rsidRPr="004F350B" w14:paraId="546C796C" w14:textId="13D758DF" w:rsidTr="00704A9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921E0" w14:textId="00D47500" w:rsidR="00704A9D" w:rsidRPr="00690493" w:rsidRDefault="00704A9D" w:rsidP="00575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904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M3 </w:t>
            </w:r>
            <w:bookmarkStart w:id="0" w:name="_Hlk142906996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Zilā Ekonomika, kas veicinātu konkurētspējīgu un ilgtspējīgu jūras piekrastes attīstību biedrības “Jūrkante” darbības teritorijā.</w:t>
            </w:r>
            <w:bookmarkEnd w:id="0"/>
          </w:p>
        </w:tc>
      </w:tr>
      <w:tr w:rsidR="00704A9D" w:rsidRPr="004F350B" w14:paraId="6A2148AF" w14:textId="0D15776E" w:rsidTr="00704A9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E0E6" w14:textId="77777777" w:rsidR="00704A9D" w:rsidRDefault="00704A9D" w:rsidP="00CB5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75EC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EJZA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F</w:t>
            </w:r>
            <w:r w:rsidRPr="00575EC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R1</w:t>
            </w:r>
            <w:r w:rsidRPr="00575EC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Zivsaimniecības un piekrastes uzņēmumu attīstība, uzņēmējdarbības dažādošana un sezonalitātes mazināšana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0B935D67" w14:textId="2BEDB631" w:rsidR="00704A9D" w:rsidRPr="00575EC8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Minimālais punktu skaits, lai atbilstu biedrības stratēģijai ir 8 punkti. </w:t>
            </w:r>
          </w:p>
        </w:tc>
      </w:tr>
      <w:tr w:rsidR="00704A9D" w:rsidRPr="00072092" w14:paraId="7E161185" w14:textId="2F72F2DD" w:rsidTr="00704A9D">
        <w:tc>
          <w:tcPr>
            <w:tcW w:w="542" w:type="dxa"/>
            <w:shd w:val="clear" w:color="auto" w:fill="D9E2F3"/>
            <w:vAlign w:val="center"/>
          </w:tcPr>
          <w:p w14:paraId="19EE4C20" w14:textId="77777777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Nr.</w:t>
            </w:r>
          </w:p>
        </w:tc>
        <w:tc>
          <w:tcPr>
            <w:tcW w:w="4812" w:type="dxa"/>
            <w:shd w:val="clear" w:color="auto" w:fill="D9E2F3"/>
            <w:vAlign w:val="center"/>
          </w:tcPr>
          <w:p w14:paraId="65EB2657" w14:textId="77777777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shd w:val="clear" w:color="auto" w:fill="D9E2F3"/>
            <w:vAlign w:val="center"/>
          </w:tcPr>
          <w:p w14:paraId="0799E329" w14:textId="77777777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Vērtējums/</w:t>
            </w:r>
          </w:p>
          <w:p w14:paraId="092AB2B9" w14:textId="1E2B8BAB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Punkti</w:t>
            </w:r>
          </w:p>
        </w:tc>
        <w:tc>
          <w:tcPr>
            <w:tcW w:w="1744" w:type="dxa"/>
            <w:shd w:val="clear" w:color="auto" w:fill="D9E2F3"/>
          </w:tcPr>
          <w:p w14:paraId="529C6D1C" w14:textId="7E862418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>Pašnovērtējuma pretendenta piešķirtie punkti</w:t>
            </w: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ab/>
            </w:r>
          </w:p>
        </w:tc>
        <w:tc>
          <w:tcPr>
            <w:tcW w:w="6661" w:type="dxa"/>
            <w:shd w:val="clear" w:color="auto" w:fill="D9E2F3"/>
          </w:tcPr>
          <w:p w14:paraId="67DBD5D5" w14:textId="19E32D55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Pamatojums ( </w:t>
            </w:r>
            <w:r w:rsidR="007424BE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</w:t>
            </w: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>sadaļa, kurā aprakstīts)</w:t>
            </w:r>
          </w:p>
        </w:tc>
      </w:tr>
      <w:tr w:rsidR="00704A9D" w:rsidRPr="00072092" w14:paraId="4A7CB4D6" w14:textId="77A74C81" w:rsidTr="00704A9D">
        <w:tc>
          <w:tcPr>
            <w:tcW w:w="15026" w:type="dxa"/>
            <w:gridSpan w:val="5"/>
            <w:shd w:val="clear" w:color="auto" w:fill="D9D9D9" w:themeFill="background1" w:themeFillShade="D9"/>
            <w:vAlign w:val="center"/>
          </w:tcPr>
          <w:p w14:paraId="682EE1EE" w14:textId="4DCCF4FC" w:rsidR="00704A9D" w:rsidRDefault="00704A9D" w:rsidP="00575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Projekta atbilstība SVVA stratēģijai un norādītājai rīcībai.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(Atbilstība </w:t>
            </w:r>
            <w:r w:rsidRPr="00E14056">
              <w:rPr>
                <w:rFonts w:ascii="Times New Roman" w:eastAsia="Calibri" w:hAnsi="Times New Roman" w:cs="Times New Roman"/>
                <w:bCs/>
                <w:lang w:eastAsia="zh-CN"/>
              </w:rPr>
              <w:t>jāizpildās visiem nosacījumiem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  <w:tr w:rsidR="00704A9D" w:rsidRPr="00072092" w14:paraId="5B0AA70D" w14:textId="699E450B" w:rsidTr="00704A9D">
        <w:tc>
          <w:tcPr>
            <w:tcW w:w="542" w:type="dxa"/>
          </w:tcPr>
          <w:p w14:paraId="2FAB1646" w14:textId="70BA833B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14:paraId="107B44D4" w14:textId="7CCD725F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Atbilst stratēģi</w:t>
            </w:r>
            <w:r>
              <w:rPr>
                <w:rFonts w:ascii="Times New Roman" w:eastAsia="Calibri" w:hAnsi="Times New Roman" w:cs="Times New Roman"/>
                <w:lang w:eastAsia="zh-CN"/>
              </w:rPr>
              <w:t>jai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rīcībai,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kārtas sludinājumā noteiktām prasībām, projekta aktivitāte notiek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biedrības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“Jūrkante” ZVRG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teritorij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ā, mobilā pakalpojuma sniedzējs </w:t>
            </w:r>
            <w:r w:rsidRPr="00E14056">
              <w:rPr>
                <w:rFonts w:ascii="Times New Roman" w:hAnsi="Times New Roman" w:cs="Times New Roman"/>
              </w:rPr>
              <w:t>deklarēts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056">
              <w:rPr>
                <w:rFonts w:ascii="Times New Roman" w:hAnsi="Times New Roman" w:cs="Times New Roman"/>
              </w:rPr>
              <w:t xml:space="preserve">un/vai darbojas vismaz 1 gadu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biedrības </w:t>
            </w:r>
            <w:r>
              <w:rPr>
                <w:rFonts w:ascii="Times New Roman" w:eastAsia="Calibri" w:hAnsi="Times New Roman" w:cs="Times New Roman"/>
                <w:lang w:eastAsia="zh-CN"/>
              </w:rPr>
              <w:t>“Jūrkante”</w:t>
            </w:r>
            <w:r w:rsidRPr="00E14056">
              <w:rPr>
                <w:rFonts w:ascii="Times New Roman" w:hAnsi="Times New Roman" w:cs="Times New Roman"/>
              </w:rPr>
              <w:t xml:space="preserve"> teritorijā</w:t>
            </w:r>
            <w:r w:rsidRPr="00E14056">
              <w:rPr>
                <w:rFonts w:ascii="Times New Roman" w:eastAsia="Calibri" w:hAnsi="Times New Roman" w:cs="Times New Roman"/>
                <w:lang w:eastAsia="zh-CN"/>
              </w:rPr>
              <w:t>.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(</w:t>
            </w:r>
            <w:r w:rsidRPr="00E14056">
              <w:rPr>
                <w:rFonts w:ascii="Times New Roman" w:eastAsia="Calibri" w:hAnsi="Times New Roman" w:cs="Times New Roman"/>
                <w:color w:val="FF0000"/>
                <w:lang w:eastAsia="zh-CN"/>
              </w:rPr>
              <w:t>Ja tiek saņemts “Nē” – projekts tiek noraidīts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tcW w:w="1267" w:type="dxa"/>
            <w:vAlign w:val="center"/>
          </w:tcPr>
          <w:p w14:paraId="640C28E5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Jā/Nē</w:t>
            </w:r>
          </w:p>
        </w:tc>
        <w:tc>
          <w:tcPr>
            <w:tcW w:w="1744" w:type="dxa"/>
          </w:tcPr>
          <w:p w14:paraId="1BA819B2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7CBB22D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4D16786" w14:textId="5C7F59DD" w:rsidTr="00704A9D">
        <w:tc>
          <w:tcPr>
            <w:tcW w:w="542" w:type="dxa"/>
            <w:shd w:val="clear" w:color="auto" w:fill="auto"/>
            <w:vAlign w:val="center"/>
          </w:tcPr>
          <w:p w14:paraId="00160335" w14:textId="262D9880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2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785BC07" w14:textId="62B2AD2D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 mērķis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8B461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4913AEA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1CA75452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2AC5B034" w14:textId="5A5A89E1" w:rsidTr="00704A9D">
        <w:tc>
          <w:tcPr>
            <w:tcW w:w="542" w:type="dxa"/>
            <w:shd w:val="clear" w:color="auto" w:fill="auto"/>
            <w:vAlign w:val="center"/>
          </w:tcPr>
          <w:p w14:paraId="507D74F1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7FC25A7" w14:textId="7BAA926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 xml:space="preserve"> budžeta, laika un cilvēkresursu ziņā.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F3D6B49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26C2F1F1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E68708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14418C6" w14:textId="67B0D0B0" w:rsidTr="00704A9D">
        <w:tc>
          <w:tcPr>
            <w:tcW w:w="542" w:type="dxa"/>
            <w:shd w:val="clear" w:color="auto" w:fill="auto"/>
          </w:tcPr>
          <w:p w14:paraId="7D0592C7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9DCDEF7" w14:textId="7AE1193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962A18B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67E56085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542E94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763A183" w14:textId="72FAF2A5" w:rsidTr="00704A9D">
        <w:tc>
          <w:tcPr>
            <w:tcW w:w="542" w:type="dxa"/>
            <w:shd w:val="clear" w:color="auto" w:fill="auto"/>
          </w:tcPr>
          <w:p w14:paraId="6C772E8E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341FA7E" w14:textId="28909B3C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projekta mērķis nekonkrēts, vispārīgs, nav sasniedzams projekta īstenošanas laikā. (</w:t>
            </w:r>
            <w:r w:rsidRPr="00036BA3">
              <w:rPr>
                <w:rFonts w:ascii="Times New Roman" w:eastAsia="Calibri" w:hAnsi="Times New Roman" w:cs="Times New Roman"/>
                <w:color w:val="FF0000"/>
                <w:lang w:eastAsia="zh-CN"/>
              </w:rPr>
              <w:t>Ja tiek saņemta “0” – projekts tiek noraidīts</w:t>
            </w:r>
            <w:r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53385D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09801B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03B9F3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1B8C3E55" w14:textId="2A5739BA" w:rsidTr="00704A9D">
        <w:tc>
          <w:tcPr>
            <w:tcW w:w="6621" w:type="dxa"/>
            <w:gridSpan w:val="3"/>
            <w:shd w:val="clear" w:color="auto" w:fill="D9D9D9" w:themeFill="background1" w:themeFillShade="D9"/>
          </w:tcPr>
          <w:p w14:paraId="2CA8F67F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Vispārējie kritēriji.</w:t>
            </w:r>
          </w:p>
          <w:p w14:paraId="2AB9234E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2CEA47AA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61" w:type="dxa"/>
            <w:shd w:val="clear" w:color="auto" w:fill="D9D9D9" w:themeFill="background1" w:themeFillShade="D9"/>
          </w:tcPr>
          <w:p w14:paraId="6F4E5202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704A9D" w:rsidRPr="008912A7" w14:paraId="2DD4AF92" w14:textId="2AAD14D5" w:rsidTr="00704A9D">
        <w:tc>
          <w:tcPr>
            <w:tcW w:w="542" w:type="dxa"/>
            <w:shd w:val="clear" w:color="auto" w:fill="auto"/>
            <w:vAlign w:val="center"/>
          </w:tcPr>
          <w:p w14:paraId="4C6C54B3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3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2FA24F3" w14:textId="46F742BC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(punkti </w:t>
            </w:r>
            <w:r w:rsidR="00173A01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ne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summējas)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1687AE3" w14:textId="77777777" w:rsidR="00704A9D" w:rsidRPr="008912A7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*</w:t>
            </w:r>
          </w:p>
        </w:tc>
        <w:tc>
          <w:tcPr>
            <w:tcW w:w="1744" w:type="dxa"/>
          </w:tcPr>
          <w:p w14:paraId="59CA7BC1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4D04FDD4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517CC489" w14:textId="538A8EAC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7A9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38C2" w14:textId="411278AF" w:rsidR="00704A9D" w:rsidRPr="008912A7" w:rsidRDefault="00704A9D" w:rsidP="00D31508">
            <w:pPr>
              <w:suppressAutoHyphens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eastAsia="Calibri" w:hAnsi="Times New Roman" w:cs="Times New Roman"/>
                <w:lang w:eastAsia="zh-CN"/>
              </w:rPr>
              <w:t>10.10.2023. noteikumos Nr.579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2AEB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94E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277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F32CA1E" w14:textId="0A528AE1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472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79BD" w14:textId="232383E5" w:rsidR="00704A9D" w:rsidRPr="008912A7" w:rsidRDefault="00704A9D" w:rsidP="00D3150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Ar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būvniecību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saistītiem projektiem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 xml:space="preserve"> iesniegti arī tie dokumenti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, kurus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saskaņā ar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MK </w:t>
            </w:r>
            <w:r>
              <w:rPr>
                <w:rFonts w:ascii="Times New Roman" w:eastAsia="Calibri" w:hAnsi="Times New Roman" w:cs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lang w:eastAsia="zh-CN"/>
              </w:rPr>
              <w:t>punktu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16B6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B01" w14:textId="77777777" w:rsidR="00704A9D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D55" w14:textId="77777777" w:rsidR="00704A9D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5EECFF59" w14:textId="5D22E411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5FB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E2EF" w14:textId="77777777" w:rsidR="00704A9D" w:rsidRPr="008912A7" w:rsidRDefault="00704A9D" w:rsidP="00D31508">
            <w:pPr>
              <w:suppressAutoHyphens/>
              <w:spacing w:before="60" w:after="60" w:line="256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BFDE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83A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73D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B4DC96A" w14:textId="3BE38AB0" w:rsidTr="00704A9D">
        <w:tc>
          <w:tcPr>
            <w:tcW w:w="542" w:type="dxa"/>
            <w:shd w:val="clear" w:color="auto" w:fill="auto"/>
            <w:vAlign w:val="center"/>
          </w:tcPr>
          <w:p w14:paraId="1160E6D8" w14:textId="1D7A086E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4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D84AB09" w14:textId="6E37D640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P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rojekta būtība,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dzīvotspēja, budžets, 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specifika vai specializācija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5A2457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2982FA0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234C5F6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63485FD8" w14:textId="43F3ACC2" w:rsidTr="00704A9D">
        <w:tc>
          <w:tcPr>
            <w:tcW w:w="542" w:type="dxa"/>
          </w:tcPr>
          <w:p w14:paraId="4234A3D3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87DB7F5" w14:textId="4836537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skaidri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. Pamatots projekta budžets. </w:t>
            </w:r>
          </w:p>
        </w:tc>
        <w:tc>
          <w:tcPr>
            <w:tcW w:w="1267" w:type="dxa"/>
            <w:vAlign w:val="center"/>
          </w:tcPr>
          <w:p w14:paraId="0A0717D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5435056A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63761DE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20F81EC" w14:textId="45B28838" w:rsidTr="00704A9D">
        <w:tc>
          <w:tcPr>
            <w:tcW w:w="542" w:type="dxa"/>
          </w:tcPr>
          <w:p w14:paraId="6A91C126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4ABCD48" w14:textId="49EA60B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papildinošu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vAlign w:val="center"/>
          </w:tcPr>
          <w:p w14:paraId="7DEF345F" w14:textId="61FF2194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54306D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D20AED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A34B8E9" w14:textId="19E19BBF" w:rsidTr="00704A9D">
        <w:tc>
          <w:tcPr>
            <w:tcW w:w="542" w:type="dxa"/>
          </w:tcPr>
          <w:p w14:paraId="0D469AA5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bookmarkStart w:id="1" w:name="_Hlk152163447"/>
          </w:p>
        </w:tc>
        <w:tc>
          <w:tcPr>
            <w:tcW w:w="4812" w:type="dxa"/>
            <w:shd w:val="clear" w:color="auto" w:fill="auto"/>
          </w:tcPr>
          <w:p w14:paraId="68A76E40" w14:textId="0D484F2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papild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inoši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vAlign w:val="center"/>
          </w:tcPr>
          <w:p w14:paraId="7A3D83E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5A1F6D3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F20B63D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bookmarkEnd w:id="1"/>
      <w:tr w:rsidR="00704A9D" w:rsidRPr="008912A7" w14:paraId="753BA744" w14:textId="24FC49C8" w:rsidTr="00704A9D">
        <w:trPr>
          <w:trHeight w:val="348"/>
        </w:trPr>
        <w:tc>
          <w:tcPr>
            <w:tcW w:w="542" w:type="dxa"/>
            <w:shd w:val="clear" w:color="auto" w:fill="auto"/>
            <w:vAlign w:val="center"/>
          </w:tcPr>
          <w:p w14:paraId="034169A6" w14:textId="687A45B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5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14:paraId="7F7EAFB6" w14:textId="214CE668" w:rsidR="00704A9D" w:rsidRPr="008912A7" w:rsidRDefault="00704A9D" w:rsidP="00D3150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shd w:val="clear" w:color="auto" w:fill="auto"/>
          </w:tcPr>
          <w:p w14:paraId="3A27D1F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5B09699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7DA74EC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1773DC4B" w14:textId="168703D0" w:rsidTr="00704A9D">
        <w:tc>
          <w:tcPr>
            <w:tcW w:w="542" w:type="dxa"/>
          </w:tcPr>
          <w:p w14:paraId="0C8CD2C5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117E74CF" w14:textId="42CF50F7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 xml:space="preserve">4) katram riskam ir norādīti plānotie un ieviešanas procesā esošie riska novēršanas/mazināšanas pasākumi, tai skaitā šo </w:t>
            </w: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pasākumu īstenošanas biežums un par pasākumiem atbildīgās personas</w:t>
            </w:r>
          </w:p>
        </w:tc>
        <w:tc>
          <w:tcPr>
            <w:tcW w:w="1267" w:type="dxa"/>
          </w:tcPr>
          <w:p w14:paraId="3B53E73E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1744" w:type="dxa"/>
          </w:tcPr>
          <w:p w14:paraId="1BB9EE2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4AA076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7C0CE8C0" w14:textId="19EB914E" w:rsidTr="00704A9D">
        <w:tc>
          <w:tcPr>
            <w:tcW w:w="542" w:type="dxa"/>
          </w:tcPr>
          <w:p w14:paraId="52D6DF91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184BB1F8" w14:textId="6B87A647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</w:tcPr>
          <w:p w14:paraId="2AF726F9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6CDA3C2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D32135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E694D13" w14:textId="051D88D7" w:rsidTr="00704A9D">
        <w:tc>
          <w:tcPr>
            <w:tcW w:w="542" w:type="dxa"/>
          </w:tcPr>
          <w:p w14:paraId="164A16B9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3566C2F" w14:textId="4A39EAB0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nav identificēti un analizēti.</w:t>
            </w:r>
          </w:p>
        </w:tc>
        <w:tc>
          <w:tcPr>
            <w:tcW w:w="1267" w:type="dxa"/>
          </w:tcPr>
          <w:p w14:paraId="15810AAA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2F3A074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9176078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1D05BDD" w14:textId="70DCB68E" w:rsidTr="00704A9D">
        <w:tc>
          <w:tcPr>
            <w:tcW w:w="542" w:type="dxa"/>
            <w:shd w:val="clear" w:color="auto" w:fill="auto"/>
            <w:vAlign w:val="center"/>
          </w:tcPr>
          <w:p w14:paraId="1AB1AF28" w14:textId="3E4E7116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6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D995964" w14:textId="55742592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darbības joma </w:t>
            </w:r>
            <w:r w:rsidRPr="00F7331C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vērtējums kritērijā nesummējas, tiek ņemta vērā viena prioritārā darbības joma)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F070C3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2BB58F0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5E54530E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5E626E2B" w14:textId="64032876" w:rsidTr="00704A9D">
        <w:tc>
          <w:tcPr>
            <w:tcW w:w="542" w:type="dxa"/>
            <w:shd w:val="clear" w:color="auto" w:fill="auto"/>
          </w:tcPr>
          <w:p w14:paraId="616127A4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73AB03E" w14:textId="10EBE219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piekrastes zveja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88296B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62FA939D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83411A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F124651" w14:textId="30971FBF" w:rsidTr="00704A9D">
        <w:tc>
          <w:tcPr>
            <w:tcW w:w="542" w:type="dxa"/>
            <w:shd w:val="clear" w:color="auto" w:fill="auto"/>
          </w:tcPr>
          <w:p w14:paraId="0129528C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950800E" w14:textId="1DCC7C4D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vietējo zivju pārstrāde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4D5F99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42B28DF9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0A9AC91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E1F6E4C" w14:textId="784E09C5" w:rsidTr="00704A9D">
        <w:tc>
          <w:tcPr>
            <w:tcW w:w="542" w:type="dxa"/>
            <w:shd w:val="clear" w:color="auto" w:fill="auto"/>
          </w:tcPr>
          <w:p w14:paraId="34BCD14C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4AB62102" w14:textId="1AE93A72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citu pārtikas un nepārtikas preču pārstrāde, ražošana, amatniecība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1D1FBE" w14:textId="0073EE13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1,5</w:t>
            </w:r>
          </w:p>
        </w:tc>
        <w:tc>
          <w:tcPr>
            <w:tcW w:w="1744" w:type="dxa"/>
          </w:tcPr>
          <w:p w14:paraId="53D6D54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4D9B54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1D8A2D0" w14:textId="0F0BBE5C" w:rsidTr="00704A9D">
        <w:tc>
          <w:tcPr>
            <w:tcW w:w="542" w:type="dxa"/>
            <w:shd w:val="clear" w:color="auto" w:fill="auto"/>
          </w:tcPr>
          <w:p w14:paraId="2509C36F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29B4D66" w14:textId="2918FF79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vietējo produktu tirdzniecības vietu izveide, izbraukuma tirdzniecība, pakalpojumi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AF4EDE4" w14:textId="4DF28673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167502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0927BE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1E30AB26" w14:textId="1EA92F42" w:rsidTr="00704A9D">
        <w:tc>
          <w:tcPr>
            <w:tcW w:w="542" w:type="dxa"/>
            <w:shd w:val="clear" w:color="auto" w:fill="auto"/>
          </w:tcPr>
          <w:p w14:paraId="2EEACADF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075A788" w14:textId="24C60A6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A8A9B4" w14:textId="09002DBA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1BA4F77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B86A9A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4FCB466" w14:textId="5826573C" w:rsidTr="00704A9D">
        <w:tc>
          <w:tcPr>
            <w:tcW w:w="542" w:type="dxa"/>
            <w:shd w:val="clear" w:color="auto" w:fill="auto"/>
            <w:vAlign w:val="center"/>
          </w:tcPr>
          <w:p w14:paraId="4C229B35" w14:textId="66E6E9A5" w:rsidR="00704A9D" w:rsidRPr="00072092" w:rsidRDefault="00704A9D" w:rsidP="00B73A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7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6A92841" w14:textId="2D8F81CC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Projekta iesniedzēja pamatdarbība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27A23F4" w14:textId="75733158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7DCA35C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1ED7927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7844AF6" w14:textId="1E4DBDA3" w:rsidTr="00704A9D">
        <w:tc>
          <w:tcPr>
            <w:tcW w:w="542" w:type="dxa"/>
          </w:tcPr>
          <w:p w14:paraId="4BDC739C" w14:textId="5F38ECA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34C016F" w14:textId="05401E8B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zivsaimniecības uzņēmuma ienākumi no piekrastes zvejas ir virs 50%</w:t>
            </w:r>
          </w:p>
        </w:tc>
        <w:tc>
          <w:tcPr>
            <w:tcW w:w="1267" w:type="dxa"/>
            <w:vAlign w:val="center"/>
          </w:tcPr>
          <w:p w14:paraId="75DFF063" w14:textId="0C0A0ABF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43B1A33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770E25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3B92C3E8" w14:textId="30A8126D" w:rsidTr="00704A9D">
        <w:tc>
          <w:tcPr>
            <w:tcW w:w="542" w:type="dxa"/>
          </w:tcPr>
          <w:p w14:paraId="793C6846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D794C61" w14:textId="6DB1FEB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zivsaimniecības uzņēmuma ienākumi no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piekrastes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zv</w:t>
            </w:r>
            <w:r>
              <w:rPr>
                <w:rFonts w:ascii="Times New Roman" w:eastAsia="Calibri" w:hAnsi="Times New Roman" w:cs="Times New Roman"/>
                <w:lang w:eastAsia="zh-CN"/>
              </w:rPr>
              <w:t>ejas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ir zem 50%</w:t>
            </w:r>
          </w:p>
        </w:tc>
        <w:tc>
          <w:tcPr>
            <w:tcW w:w="1267" w:type="dxa"/>
            <w:vAlign w:val="center"/>
          </w:tcPr>
          <w:p w14:paraId="5173DDF5" w14:textId="5B5C8B08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054A75A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AD7ABE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91AB608" w14:textId="7EE986C4" w:rsidTr="00704A9D">
        <w:tc>
          <w:tcPr>
            <w:tcW w:w="542" w:type="dxa"/>
          </w:tcPr>
          <w:p w14:paraId="08725D5F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674C0EF" w14:textId="4A33FA76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projekta iesniedzējs nav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saistīts ar piekrastes zveju</w:t>
            </w:r>
          </w:p>
        </w:tc>
        <w:tc>
          <w:tcPr>
            <w:tcW w:w="1267" w:type="dxa"/>
            <w:vAlign w:val="center"/>
          </w:tcPr>
          <w:p w14:paraId="681A45DF" w14:textId="26188032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05ED5C6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FE3F79A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6410A63" w14:textId="479EA616" w:rsidTr="00704A9D">
        <w:tc>
          <w:tcPr>
            <w:tcW w:w="542" w:type="dxa"/>
            <w:shd w:val="clear" w:color="auto" w:fill="auto"/>
            <w:vAlign w:val="center"/>
          </w:tcPr>
          <w:p w14:paraId="10C64D5E" w14:textId="14FABD42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8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292B763" w14:textId="65CE37B1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Kopprojekts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1921931" w14:textId="333B633C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0840FA8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C567D5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DE68F41" w14:textId="0D1393A1" w:rsidTr="00704A9D">
        <w:tc>
          <w:tcPr>
            <w:tcW w:w="542" w:type="dxa"/>
            <w:shd w:val="clear" w:color="auto" w:fill="auto"/>
          </w:tcPr>
          <w:p w14:paraId="3C6E4854" w14:textId="085AB7C9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DD9932F" w14:textId="7EA9DCED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F055A7" w14:textId="77D00EF0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B429B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4399B16C" w14:textId="77777777" w:rsidR="00704A9D" w:rsidRPr="009B429B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313483A" w14:textId="77777777" w:rsidR="00704A9D" w:rsidRPr="009B429B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389A86C" w14:textId="55C6B083" w:rsidTr="00704A9D">
        <w:tc>
          <w:tcPr>
            <w:tcW w:w="542" w:type="dxa"/>
            <w:shd w:val="clear" w:color="auto" w:fill="auto"/>
          </w:tcPr>
          <w:p w14:paraId="799D1259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9D5D1DA" w14:textId="5D213F97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E052DD" w14:textId="6A873C02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06D1000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26E6A74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8B12127" w14:textId="20F6CE51" w:rsidTr="00704A9D">
        <w:tc>
          <w:tcPr>
            <w:tcW w:w="542" w:type="dxa"/>
            <w:shd w:val="clear" w:color="auto" w:fill="auto"/>
            <w:vAlign w:val="center"/>
          </w:tcPr>
          <w:p w14:paraId="51713AF0" w14:textId="61161901" w:rsidR="00704A9D" w:rsidRPr="00072092" w:rsidRDefault="00704A9D" w:rsidP="00B73A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9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FEEEE43" w14:textId="0E6E3FA3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B63B6">
              <w:rPr>
                <w:rFonts w:ascii="Times New Roman" w:eastAsia="Calibri" w:hAnsi="Times New Roman" w:cs="Times New Roman"/>
                <w:b/>
                <w:lang w:eastAsia="zh-CN"/>
              </w:rPr>
              <w:t>Projekta inovācija. Jāatbilst SVVA 2.3 sadaļa noteiktajiem kritērijiem ( SVVA 35 lpp.)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3781D2" w14:textId="368BF874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04D24880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755BBAA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9E760A7" w14:textId="6F0D321C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3D1" w14:textId="32C7425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DC9" w14:textId="663907A9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projekta pasākums kopumā ir inovatīvs  biedrības teritorijā.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F16" w14:textId="028157DB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0D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5B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704F51A" w14:textId="3A0CCC35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33B" w14:textId="77777777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25A" w14:textId="1B4B9D5E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lang w:eastAsia="zh-CN"/>
              </w:rPr>
              <w:t>ā iekļautas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inovācijas, kas sekmē tikai uzņēmuma attīstības inovāciju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C151" w14:textId="53C3415D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16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3B9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D35C43C" w14:textId="41E6FB36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371" w14:textId="77777777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  <w:bookmarkStart w:id="2" w:name="_Hlk152322504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3FA" w14:textId="5817D8C3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lang w:eastAsia="zh-CN"/>
              </w:rPr>
              <w:t>ā nav iekļautas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2B49" w14:textId="2609BE59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02C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A3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A3D8596" w14:textId="172465F2" w:rsidTr="00704A9D">
        <w:tc>
          <w:tcPr>
            <w:tcW w:w="542" w:type="dxa"/>
            <w:shd w:val="clear" w:color="auto" w:fill="auto"/>
            <w:vAlign w:val="center"/>
          </w:tcPr>
          <w:p w14:paraId="02B5F59C" w14:textId="2563DA93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lastRenderedPageBreak/>
              <w:t>10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  <w:hideMark/>
          </w:tcPr>
          <w:p w14:paraId="199C23E9" w14:textId="4E1C0F1B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S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ezonalitātes mazināšan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61A6B01" w14:textId="257C5FEB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0EA2EB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A67C5A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bookmarkEnd w:id="2"/>
      <w:tr w:rsidR="00704A9D" w:rsidRPr="00072092" w14:paraId="712401FC" w14:textId="2A17C36F" w:rsidTr="00704A9D">
        <w:tc>
          <w:tcPr>
            <w:tcW w:w="542" w:type="dxa"/>
            <w:vAlign w:val="center"/>
          </w:tcPr>
          <w:p w14:paraId="14F79D06" w14:textId="2F787D6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A4FA01B" w14:textId="141DD50E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plānotais pasākums vērsts uz sezonalitātes mazināšanu, kas pamatots projekta pieteikumā un/vai papildus apliecināts ar pievienotajiem materiāliem</w:t>
            </w:r>
          </w:p>
        </w:tc>
        <w:tc>
          <w:tcPr>
            <w:tcW w:w="1267" w:type="dxa"/>
            <w:vAlign w:val="center"/>
          </w:tcPr>
          <w:p w14:paraId="5BBE1D19" w14:textId="7DA42CB5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FEAAA7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CB152A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32479453" w14:textId="69BC24D5" w:rsidTr="00704A9D">
        <w:tc>
          <w:tcPr>
            <w:tcW w:w="542" w:type="dxa"/>
            <w:vAlign w:val="center"/>
          </w:tcPr>
          <w:p w14:paraId="563C2FE9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E06EA70" w14:textId="6BCDF284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plānotais pasākums nav vērsts uz sezonalitātes mazināšanu</w:t>
            </w:r>
          </w:p>
        </w:tc>
        <w:tc>
          <w:tcPr>
            <w:tcW w:w="1267" w:type="dxa"/>
            <w:vAlign w:val="center"/>
          </w:tcPr>
          <w:p w14:paraId="4A5CC100" w14:textId="101450C9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E20B95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1DDF5B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65D4E05" w14:textId="6B2759DF" w:rsidTr="00704A9D">
        <w:tc>
          <w:tcPr>
            <w:tcW w:w="542" w:type="dxa"/>
            <w:shd w:val="clear" w:color="auto" w:fill="auto"/>
            <w:vAlign w:val="center"/>
          </w:tcPr>
          <w:p w14:paraId="7F11F749" w14:textId="5A020B6A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11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F48A221" w14:textId="58FAC76D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D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arba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viet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080BA82" w14:textId="27C1818F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243302B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FAFA071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292984C1" w14:textId="6FAB068F" w:rsidTr="00704A9D">
        <w:trPr>
          <w:trHeight w:val="413"/>
        </w:trPr>
        <w:tc>
          <w:tcPr>
            <w:tcW w:w="542" w:type="dxa"/>
            <w:shd w:val="clear" w:color="auto" w:fill="auto"/>
            <w:vAlign w:val="center"/>
          </w:tcPr>
          <w:p w14:paraId="17BBA617" w14:textId="45940013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4DF7901" w14:textId="44E57AED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tiks izveidota vismaz viena jauna pilna laika darba vieta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31DB20" w14:textId="693C4030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7EBA6B1F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F27914A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40061CCD" w14:textId="7BFD88BD" w:rsidTr="00704A9D">
        <w:trPr>
          <w:trHeight w:val="315"/>
        </w:trPr>
        <w:tc>
          <w:tcPr>
            <w:tcW w:w="542" w:type="dxa"/>
            <w:shd w:val="clear" w:color="auto" w:fill="auto"/>
            <w:vAlign w:val="center"/>
          </w:tcPr>
          <w:p w14:paraId="38D69F21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CA3859D" w14:textId="4A164BDB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tiks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499C98" w14:textId="59708BA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064E506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873B817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107C0E9F" w14:textId="1A6A26E5" w:rsidTr="00704A9D">
        <w:trPr>
          <w:trHeight w:val="276"/>
        </w:trPr>
        <w:tc>
          <w:tcPr>
            <w:tcW w:w="542" w:type="dxa"/>
            <w:shd w:val="clear" w:color="auto" w:fill="auto"/>
            <w:vAlign w:val="center"/>
          </w:tcPr>
          <w:p w14:paraId="458BBB6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CA0B9C8" w14:textId="20C4DA5C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D03E7F3" w14:textId="1AAE5D16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FD5E47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562DF2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62C0137E" w14:textId="6D18C631" w:rsidTr="00704A9D">
        <w:trPr>
          <w:trHeight w:val="281"/>
        </w:trPr>
        <w:tc>
          <w:tcPr>
            <w:tcW w:w="542" w:type="dxa"/>
            <w:shd w:val="clear" w:color="auto" w:fill="auto"/>
            <w:vAlign w:val="center"/>
          </w:tcPr>
          <w:p w14:paraId="0249B3B8" w14:textId="1D73B3C2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2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14:paraId="60805808" w14:textId="1576298A" w:rsidR="00704A9D" w:rsidRPr="00704A9D" w:rsidRDefault="00704A9D" w:rsidP="00704A9D">
            <w:pPr>
              <w:spacing w:after="0" w:line="240" w:lineRule="auto"/>
              <w:rPr>
                <w:rFonts w:cs="Times New Roman"/>
                <w:lang w:eastAsia="lv-LV"/>
              </w:rPr>
            </w:pPr>
            <w:r>
              <w:rPr>
                <w:rFonts w:eastAsia="Calibri" w:cs="Times New Roman"/>
                <w:b/>
                <w:lang w:eastAsia="zh-CN"/>
              </w:rPr>
              <w:t>Iespēju radīšana sociālās atstumtības riska grupām</w:t>
            </w:r>
            <w:r>
              <w:rPr>
                <w:rStyle w:val="FootnoteReference"/>
                <w:rFonts w:eastAsia="Calibri" w:cs="Times New Roman"/>
                <w:b/>
                <w:lang w:eastAsia="zh-CN"/>
              </w:rPr>
              <w:footnoteReference w:id="1"/>
            </w:r>
            <w:r>
              <w:rPr>
                <w:rFonts w:eastAsia="Calibri" w:cs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BE21F8" w14:textId="42BCC73C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59E4105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A7847F3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0D9A2BCA" w14:textId="236D22C0" w:rsidTr="00704A9D">
        <w:tc>
          <w:tcPr>
            <w:tcW w:w="542" w:type="dxa"/>
            <w:shd w:val="clear" w:color="auto" w:fill="auto"/>
          </w:tcPr>
          <w:p w14:paraId="2E8B6D48" w14:textId="5F3425A2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5EC2219" w14:textId="326BBA23" w:rsidR="00704A9D" w:rsidRPr="008912A7" w:rsidRDefault="00704A9D" w:rsidP="00FD1E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 xml:space="preserve"> ar specializētām palīgiekārtām. Kritērija nosacījumu izpilde jānodrošina projekta īstenošanas laikā:</w:t>
            </w:r>
          </w:p>
        </w:tc>
        <w:tc>
          <w:tcPr>
            <w:tcW w:w="1267" w:type="dxa"/>
            <w:shd w:val="clear" w:color="auto" w:fill="auto"/>
          </w:tcPr>
          <w:p w14:paraId="3EE4E2B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62219BA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2CDAE1B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3191D9C6" w14:textId="6410F0C8" w:rsidTr="00704A9D">
        <w:tc>
          <w:tcPr>
            <w:tcW w:w="542" w:type="dxa"/>
          </w:tcPr>
          <w:p w14:paraId="0FD42FFD" w14:textId="77777777" w:rsidR="00704A9D" w:rsidRPr="008912A7" w:rsidRDefault="00704A9D" w:rsidP="00D315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A41AC0A" w14:textId="54115336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tiks izveidota atbilstoša darba vieta</w:t>
            </w:r>
          </w:p>
        </w:tc>
        <w:tc>
          <w:tcPr>
            <w:tcW w:w="1267" w:type="dxa"/>
            <w:vAlign w:val="center"/>
          </w:tcPr>
          <w:p w14:paraId="2471DF24" w14:textId="7548308B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2FB10E81" w14:textId="77777777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8F20C4F" w14:textId="77777777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078814DA" w14:textId="78CF22DD" w:rsidTr="00704A9D">
        <w:tc>
          <w:tcPr>
            <w:tcW w:w="542" w:type="dxa"/>
          </w:tcPr>
          <w:p w14:paraId="3E359B9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299E5C9A" w14:textId="29A8FF93" w:rsidR="00704A9D" w:rsidRPr="008912A7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BD0D99">
              <w:rPr>
                <w:rFonts w:ascii="Times New Roman" w:eastAsia="Calibri" w:hAnsi="Times New Roman" w:cs="Times New Roman"/>
                <w:lang w:eastAsia="zh-CN"/>
              </w:rPr>
              <w:t>tiks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</w:tcPr>
          <w:p w14:paraId="3B533FA3" w14:textId="5BA5B80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0,5</w:t>
            </w:r>
          </w:p>
        </w:tc>
        <w:tc>
          <w:tcPr>
            <w:tcW w:w="1744" w:type="dxa"/>
          </w:tcPr>
          <w:p w14:paraId="577105C9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D797557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19CD3BB" w14:textId="77976A96" w:rsidTr="00704A9D">
        <w:tc>
          <w:tcPr>
            <w:tcW w:w="542" w:type="dxa"/>
            <w:vAlign w:val="center"/>
          </w:tcPr>
          <w:p w14:paraId="0A94ADC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4DADF05" w14:textId="37B2189B" w:rsidR="00704A9D" w:rsidRPr="008912A7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projektā paredzētie pasākumi un rezultāts nav paredzēts iedzīvotājiem no sociālās atstumtības riska grupām</w:t>
            </w:r>
          </w:p>
        </w:tc>
        <w:tc>
          <w:tcPr>
            <w:tcW w:w="1267" w:type="dxa"/>
            <w:vAlign w:val="center"/>
          </w:tcPr>
          <w:p w14:paraId="5BAA79BD" w14:textId="30DC6B38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3154E893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6E0F07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6B587A35" w14:textId="7E767F6A" w:rsidTr="00704A9D">
        <w:tc>
          <w:tcPr>
            <w:tcW w:w="5354" w:type="dxa"/>
            <w:gridSpan w:val="2"/>
            <w:vAlign w:val="center"/>
          </w:tcPr>
          <w:p w14:paraId="5ED3B017" w14:textId="0DAF011D" w:rsidR="00704A9D" w:rsidRPr="005B39F6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5B39F6">
              <w:rPr>
                <w:rFonts w:ascii="Times New Roman" w:eastAsia="Calibri" w:hAnsi="Times New Roman" w:cs="Times New Roman"/>
                <w:b/>
                <w:lang w:eastAsia="zh-CN"/>
              </w:rPr>
              <w:t>Minimālais kopējais punktu skaits</w:t>
            </w:r>
          </w:p>
        </w:tc>
        <w:tc>
          <w:tcPr>
            <w:tcW w:w="1267" w:type="dxa"/>
            <w:vAlign w:val="center"/>
          </w:tcPr>
          <w:p w14:paraId="7A174FAC" w14:textId="22427A5C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5B39F6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1744" w:type="dxa"/>
          </w:tcPr>
          <w:p w14:paraId="23B02883" w14:textId="77777777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6661" w:type="dxa"/>
          </w:tcPr>
          <w:p w14:paraId="2302F275" w14:textId="77777777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</w:tbl>
    <w:p w14:paraId="649E6CB3" w14:textId="0C7611CC" w:rsidR="001E6044" w:rsidRDefault="001E6044" w:rsidP="001E6044"/>
    <w:sectPr w:rsidR="001E6044" w:rsidSect="005171A3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2491" w14:textId="77777777" w:rsidR="00CB36ED" w:rsidRDefault="00CB36ED" w:rsidP="00751595">
      <w:pPr>
        <w:spacing w:after="0" w:line="240" w:lineRule="auto"/>
      </w:pPr>
      <w:r>
        <w:separator/>
      </w:r>
    </w:p>
  </w:endnote>
  <w:endnote w:type="continuationSeparator" w:id="0">
    <w:p w14:paraId="3C1C616C" w14:textId="77777777" w:rsidR="00CB36ED" w:rsidRDefault="00CB36ED" w:rsidP="007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EDC6E" w14:textId="77777777" w:rsidR="00CB36ED" w:rsidRDefault="00CB36ED" w:rsidP="00751595">
      <w:pPr>
        <w:spacing w:after="0" w:line="240" w:lineRule="auto"/>
      </w:pPr>
      <w:r>
        <w:separator/>
      </w:r>
    </w:p>
  </w:footnote>
  <w:footnote w:type="continuationSeparator" w:id="0">
    <w:p w14:paraId="77D52C50" w14:textId="77777777" w:rsidR="00CB36ED" w:rsidRDefault="00CB36ED" w:rsidP="00751595">
      <w:pPr>
        <w:spacing w:after="0" w:line="240" w:lineRule="auto"/>
      </w:pPr>
      <w:r>
        <w:continuationSeparator/>
      </w:r>
    </w:p>
  </w:footnote>
  <w:footnote w:id="1">
    <w:p w14:paraId="15B2D2F3" w14:textId="77777777" w:rsidR="00704A9D" w:rsidRDefault="00704A9D" w:rsidP="00704A9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  <w:r>
        <w:rPr>
          <w:rFonts w:ascii="Times New Roman" w:hAnsi="Times New Roman" w:cs="Times New Roman"/>
          <w:b/>
          <w:bCs/>
          <w:color w:val="414142"/>
          <w:sz w:val="16"/>
          <w:szCs w:val="16"/>
          <w:shd w:val="clear" w:color="auto" w:fill="FFFFFF"/>
        </w:rPr>
        <w:t xml:space="preserve">  (Ministru kabineta noteikumi Nr. 173</w:t>
      </w:r>
      <w:r>
        <w:rPr>
          <w:rFonts w:ascii="Times New Roman" w:hAnsi="Times New Roman" w:cs="Times New Roman"/>
          <w:color w:val="41414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Rīgā 2018. gada 27. martā</w:t>
      </w:r>
      <w:r>
        <w:rPr>
          <w:rFonts w:ascii="Arial" w:hAnsi="Arial" w:cs="Arial"/>
          <w:color w:val="414142"/>
          <w:shd w:val="clear" w:color="auto" w:fill="FFFFFF"/>
        </w:rPr>
        <w:t xml:space="preserve"> 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6902C" w14:textId="2788FABB" w:rsidR="00704A9D" w:rsidRPr="00704A9D" w:rsidRDefault="00704A9D" w:rsidP="00704A9D">
    <w:pPr>
      <w:pStyle w:val="Header"/>
      <w:jc w:val="center"/>
      <w:rPr>
        <w:sz w:val="28"/>
        <w:szCs w:val="28"/>
      </w:rPr>
    </w:pPr>
    <w:r w:rsidRPr="00704A9D">
      <w:rPr>
        <w:sz w:val="28"/>
        <w:szCs w:val="28"/>
      </w:rPr>
      <w:t>PROJEKTA PAŠVĒRTĒJUMS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416F77A5"/>
    <w:multiLevelType w:val="hybridMultilevel"/>
    <w:tmpl w:val="76B6A926"/>
    <w:lvl w:ilvl="0" w:tplc="4C801B6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1894">
    <w:abstractNumId w:val="0"/>
  </w:num>
  <w:num w:numId="2" w16cid:durableId="143127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44"/>
    <w:rsid w:val="00023A08"/>
    <w:rsid w:val="00036BA3"/>
    <w:rsid w:val="00045378"/>
    <w:rsid w:val="000A7DFF"/>
    <w:rsid w:val="000B63B6"/>
    <w:rsid w:val="000D58AD"/>
    <w:rsid w:val="000E1D4B"/>
    <w:rsid w:val="000E2065"/>
    <w:rsid w:val="001471F0"/>
    <w:rsid w:val="00173A01"/>
    <w:rsid w:val="00187EBE"/>
    <w:rsid w:val="00192A73"/>
    <w:rsid w:val="001B72C2"/>
    <w:rsid w:val="001B76DA"/>
    <w:rsid w:val="001C5109"/>
    <w:rsid w:val="001D1E94"/>
    <w:rsid w:val="001E6044"/>
    <w:rsid w:val="0020456F"/>
    <w:rsid w:val="002267E0"/>
    <w:rsid w:val="00265603"/>
    <w:rsid w:val="00291E8C"/>
    <w:rsid w:val="00294259"/>
    <w:rsid w:val="002A1DB7"/>
    <w:rsid w:val="002D24C5"/>
    <w:rsid w:val="002F32BA"/>
    <w:rsid w:val="00320DB3"/>
    <w:rsid w:val="00325ADF"/>
    <w:rsid w:val="003423A5"/>
    <w:rsid w:val="00387F1E"/>
    <w:rsid w:val="003944F0"/>
    <w:rsid w:val="003A5998"/>
    <w:rsid w:val="003B31B8"/>
    <w:rsid w:val="003C2CEE"/>
    <w:rsid w:val="003F4D36"/>
    <w:rsid w:val="004A2FCA"/>
    <w:rsid w:val="004B6E0B"/>
    <w:rsid w:val="004C7A62"/>
    <w:rsid w:val="005113C9"/>
    <w:rsid w:val="005171A3"/>
    <w:rsid w:val="0052070C"/>
    <w:rsid w:val="00523573"/>
    <w:rsid w:val="005701AE"/>
    <w:rsid w:val="00571CA7"/>
    <w:rsid w:val="00575894"/>
    <w:rsid w:val="00575EC8"/>
    <w:rsid w:val="005772A4"/>
    <w:rsid w:val="005B39F6"/>
    <w:rsid w:val="00654AF9"/>
    <w:rsid w:val="00667047"/>
    <w:rsid w:val="0068137B"/>
    <w:rsid w:val="00684C82"/>
    <w:rsid w:val="00690493"/>
    <w:rsid w:val="006905F4"/>
    <w:rsid w:val="006C5D73"/>
    <w:rsid w:val="006F040A"/>
    <w:rsid w:val="006F1044"/>
    <w:rsid w:val="006F2E39"/>
    <w:rsid w:val="006F34A7"/>
    <w:rsid w:val="006F754C"/>
    <w:rsid w:val="007033C9"/>
    <w:rsid w:val="00704A9D"/>
    <w:rsid w:val="00705209"/>
    <w:rsid w:val="00734ED8"/>
    <w:rsid w:val="007424BE"/>
    <w:rsid w:val="00751595"/>
    <w:rsid w:val="007B575A"/>
    <w:rsid w:val="00800F8D"/>
    <w:rsid w:val="0081233C"/>
    <w:rsid w:val="00820FF7"/>
    <w:rsid w:val="00860ACB"/>
    <w:rsid w:val="00870468"/>
    <w:rsid w:val="00881A66"/>
    <w:rsid w:val="008A4219"/>
    <w:rsid w:val="008A452A"/>
    <w:rsid w:val="008D459D"/>
    <w:rsid w:val="0091156C"/>
    <w:rsid w:val="0092111E"/>
    <w:rsid w:val="00924610"/>
    <w:rsid w:val="00972193"/>
    <w:rsid w:val="009A3865"/>
    <w:rsid w:val="009A40D8"/>
    <w:rsid w:val="009B429B"/>
    <w:rsid w:val="00A13820"/>
    <w:rsid w:val="00A22922"/>
    <w:rsid w:val="00A31FCC"/>
    <w:rsid w:val="00A84216"/>
    <w:rsid w:val="00A97C01"/>
    <w:rsid w:val="00AA058F"/>
    <w:rsid w:val="00AA7281"/>
    <w:rsid w:val="00AC26A7"/>
    <w:rsid w:val="00AC7BEA"/>
    <w:rsid w:val="00AE158B"/>
    <w:rsid w:val="00B03CC0"/>
    <w:rsid w:val="00B2080D"/>
    <w:rsid w:val="00B27A52"/>
    <w:rsid w:val="00B71B52"/>
    <w:rsid w:val="00B73A53"/>
    <w:rsid w:val="00B80A01"/>
    <w:rsid w:val="00B94B88"/>
    <w:rsid w:val="00B97719"/>
    <w:rsid w:val="00BD0D99"/>
    <w:rsid w:val="00BE5C4F"/>
    <w:rsid w:val="00BF2A19"/>
    <w:rsid w:val="00BF36C3"/>
    <w:rsid w:val="00C062A4"/>
    <w:rsid w:val="00C25067"/>
    <w:rsid w:val="00C334AD"/>
    <w:rsid w:val="00C36A75"/>
    <w:rsid w:val="00C533DA"/>
    <w:rsid w:val="00C70723"/>
    <w:rsid w:val="00C773C9"/>
    <w:rsid w:val="00CB36ED"/>
    <w:rsid w:val="00CD6B34"/>
    <w:rsid w:val="00D24F26"/>
    <w:rsid w:val="00D31508"/>
    <w:rsid w:val="00D36997"/>
    <w:rsid w:val="00D37242"/>
    <w:rsid w:val="00D37F01"/>
    <w:rsid w:val="00D524FE"/>
    <w:rsid w:val="00D63879"/>
    <w:rsid w:val="00D83EC1"/>
    <w:rsid w:val="00DA55F2"/>
    <w:rsid w:val="00DB3847"/>
    <w:rsid w:val="00DC44AA"/>
    <w:rsid w:val="00DD7942"/>
    <w:rsid w:val="00E14056"/>
    <w:rsid w:val="00E80ABF"/>
    <w:rsid w:val="00E96FF7"/>
    <w:rsid w:val="00EA5FDF"/>
    <w:rsid w:val="00EE4956"/>
    <w:rsid w:val="00F025C6"/>
    <w:rsid w:val="00F2722D"/>
    <w:rsid w:val="00F7331C"/>
    <w:rsid w:val="00FB5968"/>
    <w:rsid w:val="00FD1EC3"/>
    <w:rsid w:val="00FF0127"/>
    <w:rsid w:val="00FF0DC5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C4E6C"/>
  <w15:chartTrackingRefBased/>
  <w15:docId w15:val="{CA034511-C408-4DBB-857A-5E852438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03"/>
    <w:pPr>
      <w:ind w:left="720"/>
      <w:contextualSpacing/>
    </w:p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7515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751595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 Number"/>
    <w:uiPriority w:val="99"/>
    <w:rsid w:val="007515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4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9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4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Zils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3715-52EF-4E01-88CB-EE1F8BBF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4</Pages>
  <Words>769</Words>
  <Characters>4386</Characters>
  <Application>Microsoft Office Word</Application>
  <DocSecurity>4</DocSecurity>
  <Lines>36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Sandija Kaulina</cp:lastModifiedBy>
  <cp:revision>2</cp:revision>
  <cp:lastPrinted>2025-01-15T08:42:00Z</cp:lastPrinted>
  <dcterms:created xsi:type="dcterms:W3CDTF">2025-01-17T13:10:00Z</dcterms:created>
  <dcterms:modified xsi:type="dcterms:W3CDTF">2025-01-17T13:10:00Z</dcterms:modified>
</cp:coreProperties>
</file>